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C5" w:rsidRPr="00AC283B" w:rsidRDefault="00AC283B" w:rsidP="00D11206">
      <w:pPr>
        <w:pStyle w:val="jhead"/>
      </w:pPr>
      <w:r>
        <w:t>Abstract</w:t>
      </w:r>
    </w:p>
    <w:p w:rsidR="00227F84" w:rsidRPr="00D11206" w:rsidRDefault="00227F84" w:rsidP="00D11206">
      <w:pPr>
        <w:pStyle w:val="jparaindent"/>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w:t>
      </w:r>
      <w:bookmarkStart w:id="0" w:name="_GoBack"/>
      <w:bookmarkEnd w:id="0"/>
      <w:r>
        <w:t xml:space="preserve">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advects onshore</w:t>
      </w:r>
      <w:r w:rsidR="005765CB">
        <w:t xml:space="preserve">. </w:t>
      </w:r>
    </w:p>
    <w:p w:rsidR="00AF087A" w:rsidRPr="004131FE" w:rsidRDefault="004131FE" w:rsidP="00D11206">
      <w:pPr>
        <w:pStyle w:val="jhead"/>
      </w:pPr>
      <w:r>
        <w:br w:type="page"/>
      </w:r>
      <w:r w:rsidR="00AF087A" w:rsidRPr="00FD01BF">
        <w:lastRenderedPageBreak/>
        <w:t>Introduction</w:t>
      </w:r>
      <w:r w:rsidR="002D71A3" w:rsidRPr="00FD01BF">
        <w:tab/>
      </w:r>
    </w:p>
    <w:p w:rsidR="006B3C5A" w:rsidRDefault="006B3C5A" w:rsidP="00D11206">
      <w:pPr>
        <w:pStyle w:val="jparaindent"/>
      </w:pPr>
      <w:r>
        <w:t xml:space="preserve">Forecast error due to incomplete understanding of atmospheric aerosols is evident in the predictions of many atmospheric models. An example of this is the predictions of general circulation models (GCMs). These are used to forecast the Earth system’s response to anthropogenic emissions of both aerosols and greenhouse gases. In spite of several decades of GCM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w:t>
      </w:r>
      <w:r w:rsidR="00B812BC">
        <w:t>e fact that aerosol budgets are affected by processing by clouds and precipitation.</w:t>
      </w:r>
    </w:p>
    <w:p w:rsidR="006B3C5A" w:rsidRDefault="006B3C5A" w:rsidP="00D11206">
      <w:pPr>
        <w:pStyle w:val="jparaindent"/>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r>
        <w:t xml:space="preserve">Twomey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D11206">
      <w:pPr>
        <w:pStyle w:val="jparaindent"/>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lastRenderedPageBreak/>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 xml:space="preserve">e </w:t>
      </w:r>
      <w:proofErr w:type="spellStart"/>
      <w:r>
        <w:t>Leeuw</w:t>
      </w:r>
      <w:proofErr w:type="spellEnd"/>
      <w:r>
        <w:t xml:space="preserve">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Bennartz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D11206">
      <w:pPr>
        <w:pStyle w:val="jparaindent"/>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013; Lebo and Feingold 2014). This is because increased aerosol abundance implies smaller droplets (assuming a fixed mass of condensed liquid), a decelerated rate of rain and snow production, and thus a reduced precipitation efficiency</w:t>
      </w:r>
      <w:r w:rsidR="007B3BF0">
        <w:t xml:space="preserve">. </w:t>
      </w:r>
      <w:r>
        <w:t xml:space="preserve">However, because of accelerated precipitation development due to the presence of giant cloud condensation nuclei (GCCN), the authors of Feingold et al. (1999) state that, “the variable presence of giant cloud condensation nuclei (GCCN) represents yet another uncertainty in estimating the influence of anthropogenic activity on climate.”  The </w:t>
      </w:r>
      <w:r>
        <w:lastRenderedPageBreak/>
        <w:t>Feingold et al. (1999) modeling study showed for a cloud system ingesting the more abundant and smaller anthropogenically-produced aerosol particles, the impact on precipitation is partially negated by the presence of GCCN. This type of compensation is expected for polluted coastal locations where both sea salt aerosol (SSA) and anthropogenic aerosol are intermixed</w:t>
      </w:r>
      <w:r w:rsidR="005765CB">
        <w:t xml:space="preserve">. </w:t>
      </w:r>
    </w:p>
    <w:p w:rsidR="006B3C5A" w:rsidRDefault="006B3C5A" w:rsidP="00D11206">
      <w:pPr>
        <w:pStyle w:val="jparaindent"/>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1 μm</w:t>
      </w:r>
      <w:r>
        <w:t xml:space="preserve">, is the basis for many investigations of aerosol abundance </w:t>
      </w:r>
      <w:r w:rsidRPr="005F5E2D">
        <w:t>(Brechtel et al. 1998</w:t>
      </w:r>
      <w:r>
        <w:t>; Birmili et al. 2001;</w:t>
      </w:r>
      <w:r w:rsidRPr="00C7253E">
        <w:t xml:space="preserve"> </w:t>
      </w:r>
      <w:proofErr w:type="spellStart"/>
      <w:r w:rsidRPr="004212C1">
        <w:t>Dall’Osto</w:t>
      </w:r>
      <w:proofErr w:type="spellEnd"/>
      <w:r w:rsidRPr="004212C1">
        <w:t xml:space="preserve"> et al. 2009</w:t>
      </w:r>
      <w:r>
        <w:t>;</w:t>
      </w:r>
      <w:r w:rsidRPr="005F5E2D">
        <w:t xml:space="preserve"> Peter et al. 2010</w:t>
      </w:r>
      <w:r>
        <w:t>; Diesch et al. 2012; Li et al. 2015)</w:t>
      </w:r>
      <w:r w:rsidR="007B3BF0">
        <w:t xml:space="preserve">. </w:t>
      </w:r>
      <w:r>
        <w:t xml:space="preserve">These studies also evaluated air parcel back trajectories and used that information to </w:t>
      </w:r>
      <w:r w:rsidR="00D8432C">
        <w:t xml:space="preserve">ascribe </w:t>
      </w:r>
      <w:r>
        <w:t>a</w:t>
      </w:r>
      <w:r w:rsidR="00D8432C">
        <w:t>n average concentration, and a standard deviation</w:t>
      </w:r>
      <w:r>
        <w:t xml:space="preserve">, to a </w:t>
      </w:r>
      <w:r w:rsidR="00D8432C">
        <w:t xml:space="preserve">particular </w:t>
      </w:r>
      <w:r>
        <w:t>source region. For example, marine source regions have a lower concentration than continental source regions (Brechtel et al. 1998; Birmili et al. 2001;</w:t>
      </w:r>
      <w:r w:rsidRPr="005F5E2D">
        <w:t xml:space="preserve"> Peter et al. 2010</w:t>
      </w:r>
      <w:r>
        <w:t>; Diesch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D11206">
      <w:pPr>
        <w:pStyle w:val="jparaindent"/>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Diesch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Brechtel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r w:rsidRPr="00B00ECE">
        <w:t>Brechtel et al.</w:t>
      </w:r>
      <w:r>
        <w:t xml:space="preserve"> (</w:t>
      </w:r>
      <w:r w:rsidRPr="00B00ECE">
        <w:t>1998)</w:t>
      </w:r>
      <w:r>
        <w:t>, but the duration of this polar-marine sampling (Table 1) is only two days.</w:t>
      </w:r>
    </w:p>
    <w:p w:rsidR="006B3C5A" w:rsidRPr="004212C1" w:rsidRDefault="006B3C5A" w:rsidP="001E7858">
      <w:pPr>
        <w:pStyle w:val="jparaindent"/>
      </w:pPr>
      <w:r w:rsidRPr="004212C1">
        <w:t>The aerosol size distribution (ASD), defining aerosol particle number concentration as a fun</w:t>
      </w:r>
      <w:r>
        <w:t xml:space="preserve">ction of </w:t>
      </w:r>
      <w:r>
        <w:rPr>
          <w:i/>
        </w:rPr>
        <w:t>D</w:t>
      </w:r>
      <w:r w:rsidRPr="004212C1">
        <w:t xml:space="preserve">, </w:t>
      </w:r>
      <w:r w:rsidR="00D4336F">
        <w:t xml:space="preserve">is a fundamental </w:t>
      </w:r>
      <w:r>
        <w:t>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rsidP="001E7858">
      <w:pPr>
        <w:pStyle w:val="jeqn"/>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001E7858">
        <w:tab/>
      </w:r>
      <w:r>
        <w:t xml:space="preserve"> </w:t>
      </w:r>
      <w:r w:rsidRPr="007209FE">
        <w:t>(1)</w:t>
      </w:r>
    </w:p>
    <w:p w:rsidR="006B3C5A" w:rsidRPr="007209FE" w:rsidRDefault="006B3C5A" w:rsidP="001E7858">
      <w:pPr>
        <w:pStyle w:val="jeqn"/>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001E7858">
        <w:tab/>
      </w:r>
      <w:r w:rsidRPr="007209FE">
        <w:t>(2)</w:t>
      </w:r>
    </w:p>
    <w:p w:rsidR="006B3C5A" w:rsidRPr="007209FE" w:rsidRDefault="006B3C5A" w:rsidP="001E7858">
      <w:pPr>
        <w:pStyle w:val="jeqn"/>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t>(3)</w:t>
      </w:r>
    </w:p>
    <w:p w:rsidR="006B3C5A" w:rsidRDefault="00D4336F" w:rsidP="00D11206">
      <w:pPr>
        <w:pStyle w:val="jparanoindent"/>
      </w:pPr>
      <w:r>
        <w:t>In these formulations the</w:t>
      </w:r>
      <w:r w:rsidR="006B3C5A">
        <w:t xml:space="preserv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rsidR="006B3C5A">
        <w:t xml:space="preserve"> represents the concentration of aerosol particles with diameter between </w:t>
      </w:r>
      <m:oMath>
        <m:r>
          <w:rPr>
            <w:rFonts w:ascii="Cambria Math" w:hAnsi="Cambria Math"/>
          </w:rPr>
          <m:t>logD</m:t>
        </m:r>
      </m:oMath>
      <w:r w:rsidR="006B3C5A">
        <w:t xml:space="preserve"> and</w:t>
      </w:r>
      <m:oMath>
        <m:r>
          <w:rPr>
            <w:rFonts w:ascii="Cambria Math" w:hAnsi="Cambria Math"/>
          </w:rPr>
          <m:t xml:space="preserve"> logD+dlogD</m:t>
        </m:r>
      </m:oMath>
      <w:r>
        <w:t xml:space="preserve"> .  Hence, w</w:t>
      </w:r>
      <w:r w:rsidR="006B3C5A">
        <w:t xml:space="preserve">hen plotted versus the logarithm of particle </w:t>
      </w:r>
      <w:r w:rsidR="00CA2E27">
        <w:t>diameter, as in Fig. 1</w:t>
      </w:r>
      <w:r w:rsidR="006B3C5A">
        <w:t xml:space="preserve">, the area under </w:t>
      </w:r>
      <m:oMath>
        <m:r>
          <w:rPr>
            <w:rFonts w:ascii="Cambria Math" w:hAnsi="Cambria Math"/>
          </w:rPr>
          <m:t>dN/dlogD</m:t>
        </m:r>
      </m:oMath>
      <w:r w:rsidR="006B3C5A">
        <w:t xml:space="preserve"> curve represents of the size-integrated </w:t>
      </w:r>
      <w:r w:rsidR="00223758">
        <w:t>concentration</w:t>
      </w:r>
      <w:r w:rsidR="006B3C5A">
        <w:rPr>
          <w:rStyle w:val="FootnoteReference"/>
        </w:rPr>
        <w:footnoteReference w:id="1"/>
      </w:r>
      <w:r w:rsidR="006B3C5A">
        <w:t>.</w:t>
      </w:r>
    </w:p>
    <w:p w:rsidR="006B3C5A" w:rsidRDefault="006B3C5A" w:rsidP="00D11206">
      <w:pPr>
        <w:pStyle w:val="jparaindent"/>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(Hoppel et al.</w:t>
      </w:r>
      <w:r w:rsidRPr="004212C1">
        <w:t xml:space="preserve"> 1994</w:t>
      </w:r>
      <w:r>
        <w:t>; Hudson et al. 2015</w:t>
      </w:r>
      <w:r w:rsidRPr="004212C1">
        <w:t>), new particle formation</w:t>
      </w:r>
      <w:r>
        <w:t xml:space="preserve"> (Petters et al. 2006), and from a mixing of distinct ASD modes characteristic of two air masses (Raes et al.</w:t>
      </w:r>
      <w:r w:rsidRPr="004212C1">
        <w:t xml:space="preserve"> 1997</w:t>
      </w:r>
      <w:r>
        <w:t>; Hudson et al. 2015</w:t>
      </w:r>
      <w:r w:rsidRPr="004212C1">
        <w:t>)</w:t>
      </w:r>
      <w:r w:rsidR="007B3BF0">
        <w:t xml:space="preserve">. </w:t>
      </w:r>
      <w:r>
        <w:t>However, attribution is difficult to pin down solely from an ASD measurement and complete understanding requires additional in</w:t>
      </w:r>
      <w:r w:rsidR="00FD3031">
        <w:t xml:space="preserve">formation (e.g., </w:t>
      </w:r>
      <w:r>
        <w:t>tracin</w:t>
      </w:r>
      <w:r w:rsidR="002F54ED">
        <w:t xml:space="preserve">g of the </w:t>
      </w:r>
      <w:r w:rsidR="00FD3031">
        <w:t xml:space="preserve">sampled </w:t>
      </w:r>
      <w:r w:rsidR="002F54ED">
        <w:t xml:space="preserve">air backwards in time, and </w:t>
      </w:r>
      <w:r>
        <w:t>knowledge of sources in space and time). Further complicating is the possibility of</w:t>
      </w:r>
      <w:r w:rsidR="002F54ED">
        <w:t xml:space="preserve"> multiple</w:t>
      </w:r>
      <w:r>
        <w:t xml:space="preserve"> process</w:t>
      </w:r>
      <w:r w:rsidR="00FD3031">
        <w:t>es</w:t>
      </w:r>
      <w:r>
        <w:t xml:space="preserve"> leading to an observed</w:t>
      </w:r>
      <w:r w:rsidRPr="004212C1">
        <w:t xml:space="preserve"> bimodal ASD</w:t>
      </w:r>
      <w:r w:rsidR="007B3BF0">
        <w:t xml:space="preserve">. </w:t>
      </w:r>
      <w:r w:rsidRPr="004212C1">
        <w:t xml:space="preserve">In </w:t>
      </w:r>
      <w:r w:rsidRPr="004212C1">
        <w:lastRenderedPageBreak/>
        <w:t xml:space="preserve">contrast to </w:t>
      </w:r>
      <w:r>
        <w:t>a bimodal ASD</w:t>
      </w:r>
      <w:r w:rsidRPr="004212C1">
        <w:t xml:space="preserve">, </w:t>
      </w:r>
      <w:r>
        <w:t>a unimodal ASD</w:t>
      </w:r>
      <w:r w:rsidRPr="004212C1">
        <w:t xml:space="preserve"> </w:t>
      </w:r>
      <w:r>
        <w:t>(Fig. 1, top) is</w:t>
      </w:r>
      <w:r w:rsidRPr="004212C1">
        <w:t xml:space="preserve"> often observed in </w:t>
      </w:r>
      <w:r w:rsidR="002F54ED">
        <w:t xml:space="preserve">a </w:t>
      </w:r>
      <w:r w:rsidRPr="004212C1">
        <w:t xml:space="preserve">continental air </w:t>
      </w:r>
      <w:r w:rsidR="002F54ED">
        <w:t xml:space="preserve">during anticyclonic synoptic </w:t>
      </w:r>
      <w:r w:rsidR="00FD3031">
        <w:t>conditions</w:t>
      </w:r>
      <w:r>
        <w:t xml:space="preserve"> </w:t>
      </w:r>
      <w:r w:rsidRPr="004212C1">
        <w:t>(</w:t>
      </w:r>
      <w:proofErr w:type="spellStart"/>
      <w:r w:rsidRPr="004212C1">
        <w:t>Dall’Osto</w:t>
      </w:r>
      <w:proofErr w:type="spellEnd"/>
      <w:r w:rsidRPr="004212C1">
        <w:t xml:space="preserve"> et al. 2009</w:t>
      </w:r>
      <w:r w:rsidR="00FD3031">
        <w:t>; Raes et al. ????</w:t>
      </w:r>
      <w:r w:rsidRPr="004212C1">
        <w:t>).</w:t>
      </w:r>
    </w:p>
    <w:p w:rsidR="002F54ED" w:rsidRDefault="00FD3031" w:rsidP="00D11206">
      <w:pPr>
        <w:pStyle w:val="jparaindent"/>
      </w:pPr>
      <w:r>
        <w:t xml:space="preserve">Ambient measurements of </w:t>
      </w:r>
      <w:r w:rsidR="006B3C5A" w:rsidRPr="00CF7EF9">
        <w:rPr>
          <w:i/>
        </w:rPr>
        <w:t>S</w:t>
      </w:r>
      <w:r>
        <w:t xml:space="preserve"> (Eq. 2) have</w:t>
      </w:r>
      <w:r w:rsidR="006B3C5A">
        <w:t xml:space="preserve"> received </w:t>
      </w:r>
      <w:r>
        <w:t xml:space="preserve">considerable </w:t>
      </w:r>
      <w:r w:rsidR="006B3C5A">
        <w:t>attention</w:t>
      </w:r>
      <w:r>
        <w:t xml:space="preserve"> in the scientific literature</w:t>
      </w:r>
      <w:r w:rsidR="006B3C5A">
        <w:t xml:space="preserve">. Both Covert et al. (1992) and </w:t>
      </w:r>
      <w:r w:rsidR="006B3C5A" w:rsidRPr="00894E2E">
        <w:t xml:space="preserve">Clarke et al. (1998) found that </w:t>
      </w:r>
      <w:r w:rsidR="006B3C5A">
        <w:t xml:space="preserve">the formation </w:t>
      </w:r>
      <w:r w:rsidR="006B3C5A" w:rsidRPr="00894E2E">
        <w:t>of new particles</w:t>
      </w:r>
      <w:r w:rsidR="006B3C5A">
        <w:t>, derived from the condensation of sulfuric acid vapor,</w:t>
      </w:r>
      <w:r w:rsidR="006B3C5A" w:rsidRPr="00894E2E">
        <w:t xml:space="preserve"> is likely to occur </w:t>
      </w:r>
      <w:r w:rsidR="006B3C5A">
        <w:t xml:space="preserve">if </w:t>
      </w:r>
      <w:r w:rsidR="006B3C5A"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5.6pt" o:ole="">
            <v:imagedata r:id="rId8" o:title=""/>
          </v:shape>
          <o:OLEObject Type="Embed" ProgID="Equation.3" ShapeID="_x0000_i1025" DrawAspect="Content" ObjectID="_1552912969" r:id="rId9"/>
        </w:object>
      </w:r>
      <w:r w:rsidR="00480B28">
        <w:t xml:space="preserve">&lt; </w:t>
      </w:r>
      <w:r w:rsidR="006B3C5A" w:rsidRPr="00894E2E">
        <w:t>10 μm</w:t>
      </w:r>
      <w:r w:rsidR="006B3C5A" w:rsidRPr="00894E2E">
        <w:rPr>
          <w:vertAlign w:val="superscript"/>
        </w:rPr>
        <w:t>2</w:t>
      </w:r>
      <w:r w:rsidR="006B3C5A">
        <w:t xml:space="preserve"> c</w:t>
      </w:r>
      <w:r w:rsidR="006B3C5A" w:rsidRPr="00894E2E">
        <w:t>m</w:t>
      </w:r>
      <w:r w:rsidR="006B3C5A" w:rsidRPr="00894E2E">
        <w:rPr>
          <w:vertAlign w:val="superscript"/>
        </w:rPr>
        <w:t>-3</w:t>
      </w:r>
      <w:r w:rsidR="007B3BF0">
        <w:t xml:space="preserve">. </w:t>
      </w:r>
      <w:r w:rsidR="006B3C5A" w:rsidRPr="00894E2E">
        <w:t xml:space="preserve">This was supported by a later study </w:t>
      </w:r>
      <w:r w:rsidR="006B3C5A">
        <w:t>(</w:t>
      </w:r>
      <w:r w:rsidR="006B3C5A" w:rsidRPr="00894E2E">
        <w:t>Petters et al.</w:t>
      </w:r>
      <w:r w:rsidR="006B3C5A">
        <w:t xml:space="preserve"> </w:t>
      </w:r>
      <w:r w:rsidR="006B3C5A" w:rsidRPr="00894E2E">
        <w:t>2006)</w:t>
      </w:r>
      <w:r w:rsidR="006B3C5A">
        <w:t xml:space="preserve">. All of these investigations demonstrated that there is </w:t>
      </w:r>
      <w:r>
        <w:t>a link between the scavenging of aerosol by</w:t>
      </w:r>
      <w:r w:rsidR="006B3C5A">
        <w:t xml:space="preserve"> precipitation and an </w:t>
      </w:r>
      <w:r w:rsidR="006B3C5A" w:rsidRPr="00CF7EF9">
        <w:rPr>
          <w:i/>
        </w:rPr>
        <w:t>S</w:t>
      </w:r>
      <w:r w:rsidR="006B3C5A">
        <w:t xml:space="preserve"> favorable for new particle formation.</w:t>
      </w:r>
      <w:r w:rsidR="006B3C5A" w:rsidRPr="00894E2E">
        <w:t xml:space="preserve"> </w:t>
      </w:r>
    </w:p>
    <w:p w:rsidR="00CE36F0" w:rsidRPr="004131FE" w:rsidRDefault="002F54ED" w:rsidP="00D11206">
      <w:pPr>
        <w:pStyle w:val="jparaindent"/>
      </w:pPr>
      <w:r>
        <w:t>The present work is an analysis of CPC concentrations and ASDs</w:t>
      </w:r>
      <w:r w:rsidR="006B3C5A">
        <w:t xml:space="preserve"> </w:t>
      </w:r>
      <w:r>
        <w:t xml:space="preserve">measured </w:t>
      </w:r>
      <w:r w:rsidR="006B3C5A">
        <w:t>at a coastal site in Chile during the Southern Hemisphere winter (June, July, and August)</w:t>
      </w:r>
      <w:r w:rsidR="007B3BF0">
        <w:t xml:space="preserve">. </w:t>
      </w:r>
      <w:r w:rsidR="006B3C5A">
        <w:t>These ground-based measurements were made during the Chilean Coastal Orographic Precipitation Experiment (CCOPE) of 2015</w:t>
      </w:r>
      <w:r w:rsidR="007B3BF0">
        <w:t xml:space="preserve">. </w:t>
      </w:r>
      <w:r w:rsidR="00801A7F">
        <w:t>CCOPE explored relationships between coastal orographic precipitation and meteorology (</w:t>
      </w:r>
      <w:proofErr w:type="spellStart"/>
      <w:r w:rsidR="00532577">
        <w:t>Massmann</w:t>
      </w:r>
      <w:proofErr w:type="spellEnd"/>
      <w:r w:rsidR="00532577">
        <w:t xml:space="preserve"> et al. </w:t>
      </w:r>
      <w:r w:rsidR="00801A7F" w:rsidRPr="00532577">
        <w:t xml:space="preserve">2016) </w:t>
      </w:r>
      <w:r w:rsidR="00801A7F">
        <w:t>and similarities and differences between CCOPE aerosol properties and tho</w:t>
      </w:r>
      <w:r>
        <w:t>se reported in prior studies conducted a</w:t>
      </w:r>
      <w:r w:rsidR="00FD3031">
        <w:t>t</w:t>
      </w:r>
      <w:r>
        <w:t xml:space="preserve"> </w:t>
      </w:r>
      <w:r w:rsidR="00801A7F">
        <w:t>coastal</w:t>
      </w:r>
      <w:r>
        <w:t xml:space="preserve"> locations</w:t>
      </w:r>
      <w:r w:rsidR="00801A7F">
        <w:t xml:space="preserve">.  </w:t>
      </w:r>
      <w:r w:rsidR="004131FE">
        <w:t>Three questions are addressed</w:t>
      </w:r>
      <w:r w:rsidR="00721B00">
        <w:t xml:space="preserve"> here</w:t>
      </w:r>
      <w:r w:rsidR="004131FE">
        <w:t xml:space="preserve">: </w:t>
      </w:r>
      <w:r>
        <w:t xml:space="preserve">1) How do CPC </w:t>
      </w:r>
      <w:r w:rsidR="0001675E" w:rsidRPr="00E933E5">
        <w:t>concentrations at Arauco compare to those measured at Trinidad Head, CA?</w:t>
      </w:r>
      <w:r w:rsidR="004131FE">
        <w:t xml:space="preserve"> 2) </w:t>
      </w:r>
      <w:r w:rsidR="00CE36F0" w:rsidRPr="00E933E5">
        <w:t>What processes can be identified as controlling the ASD at Arauco?</w:t>
      </w:r>
      <w:r w:rsidR="004131FE">
        <w:t xml:space="preserve"> 3) </w:t>
      </w:r>
      <w:r w:rsidR="00FD3031">
        <w:t>Can evidence of SSA</w:t>
      </w:r>
      <w:r w:rsidR="00CE36F0" w:rsidRPr="00E933E5">
        <w:t xml:space="preserve"> be identified by correlating </w:t>
      </w:r>
      <w:r w:rsidR="00801A7F">
        <w:t xml:space="preserve">the concentration of particles </w:t>
      </w:r>
      <w:r w:rsidR="00801A7F" w:rsidRPr="00E933E5">
        <w:t xml:space="preserve">with D  &gt; 0.5 </w:t>
      </w:r>
      <w:r w:rsidR="00801A7F" w:rsidRPr="00E933E5">
        <w:sym w:font="Symbol" w:char="F06D"/>
      </w:r>
      <w:r w:rsidR="00801A7F" w:rsidRPr="00E933E5">
        <w:t xml:space="preserve">m </w:t>
      </w:r>
      <w:r w:rsidR="00801A7F">
        <w:t xml:space="preserve">and </w:t>
      </w:r>
      <w:r w:rsidR="00CE36F0" w:rsidRPr="00E933E5">
        <w:t>sea-surface wind speed?</w:t>
      </w:r>
    </w:p>
    <w:p w:rsidR="004131FE" w:rsidRDefault="004131FE">
      <w:pPr>
        <w:rPr>
          <w:rFonts w:ascii="Times New Roman" w:hAnsi="Times New Roman"/>
          <w:sz w:val="24"/>
        </w:rPr>
      </w:pPr>
      <w:r>
        <w:br w:type="page"/>
      </w:r>
    </w:p>
    <w:p w:rsidR="00F716BA" w:rsidRDefault="004131FE" w:rsidP="00FD3031">
      <w:pPr>
        <w:pStyle w:val="jhead"/>
      </w:pPr>
      <w:r>
        <w:lastRenderedPageBreak/>
        <w:t>Measurements</w:t>
      </w:r>
    </w:p>
    <w:p w:rsidR="00A120A4" w:rsidRPr="004131FE" w:rsidRDefault="004131FE" w:rsidP="00FD3031">
      <w:pPr>
        <w:pStyle w:val="jhead"/>
        <w:rPr>
          <w:rFonts w:cs="Times New Roman"/>
          <w:szCs w:val="24"/>
        </w:rPr>
      </w:pPr>
      <w:r>
        <w:rPr>
          <w:rFonts w:cs="Times New Roman"/>
          <w:szCs w:val="24"/>
        </w:rPr>
        <w:t>Measurement Site</w:t>
      </w:r>
    </w:p>
    <w:p w:rsidR="00A00178" w:rsidRDefault="00FD3031" w:rsidP="00D11206">
      <w:pPr>
        <w:pStyle w:val="jparaindent"/>
      </w:pPr>
      <w:r>
        <w:t>During CCOPE</w:t>
      </w:r>
      <w:r w:rsidR="00A00178">
        <w:t>, a</w:t>
      </w:r>
      <w:r w:rsidR="00A00178" w:rsidRPr="0014587B">
        <w:t xml:space="preserve"> </w:t>
      </w:r>
      <w:r w:rsidR="008B512F" w:rsidRPr="0014587B">
        <w:t xml:space="preserve">CPC </w:t>
      </w:r>
      <w:r w:rsidR="008B512F">
        <w:t>(</w:t>
      </w:r>
      <w:r>
        <w:t>model 3010;</w:t>
      </w:r>
      <w:r w:rsidR="00A00178" w:rsidRPr="0014587B">
        <w:t xml:space="preserve"> TSI</w:t>
      </w:r>
      <w:r w:rsidR="008B512F">
        <w:t xml:space="preserve"> 2000</w:t>
      </w:r>
      <w:r w:rsidR="006F0265">
        <w:t>a</w:t>
      </w:r>
      <w:r w:rsidR="00A00178" w:rsidRPr="0014587B">
        <w:t>) and an Ultra High Sensitivity Aerosol Spectrometer (</w:t>
      </w:r>
      <w:r w:rsidR="008B512F" w:rsidRPr="0014587B">
        <w:t>UHSAS</w:t>
      </w:r>
      <w:r w:rsidR="008B512F">
        <w:t>) (DM</w:t>
      </w:r>
      <w:r w:rsidR="00A00178" w:rsidRPr="0014587B">
        <w:t>T</w:t>
      </w:r>
      <w:r w:rsidR="008B512F">
        <w:t xml:space="preserve"> 2012</w:t>
      </w:r>
      <w:r w:rsidR="00A00178">
        <w:t>)</w:t>
      </w:r>
      <w:r w:rsidR="00A00178" w:rsidRPr="0014587B">
        <w:t xml:space="preserve"> </w:t>
      </w:r>
      <w:r>
        <w:t>were operated</w:t>
      </w:r>
      <w:r w:rsidR="00A00178">
        <w:t xml:space="preserve"> near the coastal city of Arauco (population</w:t>
      </w:r>
      <w:r w:rsidR="002D1331">
        <w:t xml:space="preserve"> 35,000), Bío-Bío, Chile (Fig. 2</w:t>
      </w:r>
      <w:r w:rsidR="00A00178">
        <w:t xml:space="preserve">a) </w:t>
      </w:r>
      <w:r w:rsidR="00A00178" w:rsidRPr="00245568">
        <w:t>(Instituto</w:t>
      </w:r>
      <w:r w:rsidR="008B512F">
        <w:t xml:space="preserve"> </w:t>
      </w:r>
      <w:r w:rsidR="00A00178">
        <w:t>2</w:t>
      </w:r>
      <w:r w:rsidR="00A00178" w:rsidRPr="00245568">
        <w:t>016)</w:t>
      </w:r>
      <w:r w:rsidR="007B3BF0">
        <w:t xml:space="preserve">. </w:t>
      </w:r>
      <w:r w:rsidR="00A00178" w:rsidRPr="003D5093">
        <w:t>Characteristics of the aerosol ins</w:t>
      </w:r>
      <w:r w:rsidR="00A00178">
        <w:t>truments are provided in Table 2</w:t>
      </w:r>
      <w:r w:rsidR="007B3BF0">
        <w:t xml:space="preserve">. </w:t>
      </w:r>
      <w:r w:rsidR="00A00178">
        <w:t>The aerosol observation site is located at 37.25°S and 73.34°W, 3 km from shore at 55 m MSL</w:t>
      </w:r>
      <w:r w:rsidR="007B3BF0">
        <w:t xml:space="preserve">. </w:t>
      </w:r>
      <w:r w:rsidR="00A00178">
        <w:t xml:space="preserve">This location will be referred to as the </w:t>
      </w:r>
      <w:r w:rsidR="00AF7297">
        <w:t>Arauco S</w:t>
      </w:r>
      <w:r w:rsidR="00A00178">
        <w:t>ite</w:t>
      </w:r>
      <w:r w:rsidR="007B3BF0">
        <w:t xml:space="preserve">. </w:t>
      </w:r>
      <w:r w:rsidR="00A00178">
        <w:t xml:space="preserve">A meteorological tower at </w:t>
      </w:r>
      <w:r w:rsidR="00A00178" w:rsidRPr="003D5093">
        <w:t xml:space="preserve">the </w:t>
      </w:r>
      <w:r w:rsidR="00A00178">
        <w:t xml:space="preserve">Arauco </w:t>
      </w:r>
      <w:r w:rsidR="00AF7297">
        <w:t>S</w:t>
      </w:r>
      <w:r w:rsidR="00A00178" w:rsidRPr="003D5093">
        <w:t>ite measured temperature, relative humidity, precipitation, pressure, and horizontal wind</w:t>
      </w:r>
      <w:r w:rsidR="007B3BF0">
        <w:t xml:space="preserve">. </w:t>
      </w:r>
    </w:p>
    <w:p w:rsidR="00A00178" w:rsidRDefault="00A00178" w:rsidP="00D11206">
      <w:pPr>
        <w:pStyle w:val="jparaindent"/>
      </w:pPr>
      <w:r w:rsidRPr="003D5093">
        <w:t>Aerosol measurements commenced on 29 May 2015</w:t>
      </w:r>
      <w:r w:rsidR="007B3BF0">
        <w:t xml:space="preserve">. </w:t>
      </w:r>
      <w:r w:rsidRPr="003D5093">
        <w:t xml:space="preserve">CPC measurements were acquired from 29 May to 14 August. The UHSAS measurements are available from 29 May to </w:t>
      </w:r>
      <w:r w:rsidR="00CE36F0">
        <w:t xml:space="preserve">28 </w:t>
      </w:r>
      <w:r w:rsidRPr="003D5093">
        <w:t>June. Aerosol measurements made with the combined systems (</w:t>
      </w:r>
      <w:smartTag w:uri="urn:schemas-microsoft-com:office:smarttags" w:element="stockticker">
        <w:r w:rsidRPr="003D5093">
          <w:t>CPC</w:t>
        </w:r>
      </w:smartTag>
      <w:r w:rsidRPr="003D5093">
        <w:t xml:space="preserve"> and UHSAS), prior to </w:t>
      </w:r>
      <w:r w:rsidR="00CE36F0">
        <w:t xml:space="preserve">28 </w:t>
      </w:r>
      <w:r w:rsidRPr="003D5093">
        <w:t xml:space="preserve">June, provide information about how the </w:t>
      </w:r>
      <w:r w:rsidR="006060F9">
        <w:t>ambient</w:t>
      </w:r>
      <w:r w:rsidRPr="003D5093">
        <w:t xml:space="preserve"> particles are distributed as a function of size</w:t>
      </w:r>
      <w:r w:rsidR="007B3BF0">
        <w:t xml:space="preserve">. </w:t>
      </w:r>
      <w:r>
        <w:t xml:space="preserve">A schematic of the aerosol </w:t>
      </w:r>
      <w:r w:rsidR="006060F9">
        <w:t>instrument setup at the Arauco S</w:t>
      </w:r>
      <w:r>
        <w:t xml:space="preserve">ite is provided in </w:t>
      </w:r>
      <w:r w:rsidRPr="002D1331">
        <w:t xml:space="preserve">Fig. </w:t>
      </w:r>
      <w:r w:rsidR="002D1331" w:rsidRPr="002D1331">
        <w:t>3</w:t>
      </w:r>
      <w:r w:rsidRPr="002D1331">
        <w:t>.</w:t>
      </w:r>
    </w:p>
    <w:p w:rsidR="00A120A4" w:rsidRPr="00A120A4" w:rsidRDefault="00A120A4" w:rsidP="00D11206">
      <w:pPr>
        <w:pStyle w:val="jhead"/>
      </w:pPr>
      <w:r>
        <w:t>Instrumentation</w:t>
      </w:r>
    </w:p>
    <w:p w:rsidR="00A00178" w:rsidRPr="003B42A1" w:rsidRDefault="00A00178" w:rsidP="00D11206">
      <w:pPr>
        <w:pStyle w:val="jparaindent"/>
      </w:pPr>
      <w:r w:rsidRPr="00B82814">
        <w:t xml:space="preserve">At the </w:t>
      </w:r>
      <w:r w:rsidR="006060F9">
        <w:t>Arauco Site</w:t>
      </w:r>
      <w:r w:rsidRPr="00B82814">
        <w:t xml:space="preserve"> the ambient aerosol was sampled into the aerosol instruments via a section of copper tube. The volumetric flow rate through the tube (</w:t>
      </w:r>
      <w:r w:rsidR="002D1331" w:rsidRPr="002D1331">
        <w:t>Fig. 3</w:t>
      </w:r>
      <w:r w:rsidRPr="00B82814">
        <w:t>) was 3.4x10</w:t>
      </w:r>
      <w:r w:rsidRPr="00B82814">
        <w:rPr>
          <w:vertAlign w:val="superscript"/>
        </w:rPr>
        <w:t>-5</w:t>
      </w:r>
      <w:r w:rsidRPr="00B82814">
        <w:t xml:space="preserve"> m</w:t>
      </w:r>
      <w:r w:rsidRPr="00B82814">
        <w:rPr>
          <w:vertAlign w:val="superscript"/>
        </w:rPr>
        <w:t>3</w:t>
      </w:r>
      <w:r w:rsidRPr="00B82814">
        <w:t xml:space="preserve"> s</w:t>
      </w:r>
      <w:r w:rsidRPr="00B82814">
        <w:rPr>
          <w:vertAlign w:val="superscript"/>
        </w:rPr>
        <w:t>-1</w:t>
      </w:r>
      <w:r w:rsidRPr="00B82814">
        <w:t xml:space="preserve"> and the length and inner diameter</w:t>
      </w:r>
      <w:r>
        <w:t xml:space="preserve"> (ID)</w:t>
      </w:r>
      <w:r w:rsidRPr="00B82814">
        <w:t xml:space="preserve"> of the tube were 3 m and 0.003 m, respectively. The Reynolds number (Re) of the tubular flow was 960, well below the critical value (Re = 2300) where the transition from laminar to turbulent flow occurs. Particle transmission </w:t>
      </w:r>
      <w:r>
        <w:t>efficiencies were</w:t>
      </w:r>
      <w:r w:rsidRPr="00B82814">
        <w:t xml:space="preserve"> evaluated using Eq. 7.29 in Hinds (1999) and results are shown in </w:t>
      </w:r>
      <w:r w:rsidRPr="002D1331">
        <w:t xml:space="preserve">Table </w:t>
      </w:r>
      <w:r w:rsidR="002D1331" w:rsidRPr="002D1331">
        <w:t>3</w:t>
      </w:r>
      <w:r w:rsidR="007B3BF0">
        <w:t xml:space="preserve">. </w:t>
      </w:r>
      <w:r>
        <w:t>The two larger aerosol part</w:t>
      </w:r>
      <w:r w:rsidR="001D1FAE">
        <w:t xml:space="preserve">icle sizes, D = 0.1 μm and D = 1 </w:t>
      </w:r>
      <w:r>
        <w:t xml:space="preserve">μm have a particle transmission efficiency of 99% </w:t>
      </w:r>
      <w:r>
        <w:lastRenderedPageBreak/>
        <w:t>and while the transmission efficiency is lower for the smallest aerosol particles (D = 0.01 μm), the transmission efficiency is still high at 78 %</w:t>
      </w:r>
      <w:r w:rsidR="007B3BF0">
        <w:t xml:space="preserve">. </w:t>
      </w:r>
    </w:p>
    <w:p w:rsidR="00CA0378" w:rsidRDefault="00A00178" w:rsidP="00D11206">
      <w:pPr>
        <w:pStyle w:val="jparaindent"/>
      </w:pPr>
      <w:r>
        <w:t>The UHSAS is a single-particle</w:t>
      </w:r>
      <w:r w:rsidRPr="00312A5A">
        <w:t xml:space="preserve"> optical </w:t>
      </w:r>
      <w:r>
        <w:t xml:space="preserve">scattering </w:t>
      </w:r>
      <w:r w:rsidRPr="00312A5A">
        <w:t>spectrometer</w:t>
      </w:r>
      <w:r w:rsidR="007B3BF0">
        <w:t xml:space="preserve">. </w:t>
      </w:r>
      <w:r w:rsidR="00250D68">
        <w:t xml:space="preserve">It measures scattering </w:t>
      </w:r>
      <w:r>
        <w:t xml:space="preserve">produced when aerosol particles are drawn through light emitted by a </w:t>
      </w:r>
      <w:r w:rsidRPr="00312A5A">
        <w:t xml:space="preserve">solid state </w:t>
      </w:r>
      <w:r>
        <w:t>laser</w:t>
      </w:r>
      <w:r w:rsidR="00250D68">
        <w:t xml:space="preserve"> </w:t>
      </w:r>
      <w:r>
        <w:t>(</w:t>
      </w:r>
      <w:r w:rsidRPr="00312A5A">
        <w:t xml:space="preserve">λ </w:t>
      </w:r>
      <w:r w:rsidRPr="00840C1C">
        <w:t>= 1.05 μm</w:t>
      </w:r>
      <w:r>
        <w:t>)</w:t>
      </w:r>
      <w:r w:rsidR="007B3BF0">
        <w:t xml:space="preserve">. </w:t>
      </w:r>
      <w:r w:rsidR="00CA0378">
        <w:t>A correction of UHSAS-measured concentrations is needed in environments where the particle sample rate exceeds 3,000 particles per second (DMT</w:t>
      </w:r>
      <w:r w:rsidR="00D06B1E">
        <w:t xml:space="preserve"> </w:t>
      </w:r>
      <w:r w:rsidR="00CA0378">
        <w:t>2012)</w:t>
      </w:r>
      <w:r w:rsidR="007B3BF0">
        <w:t xml:space="preserve">. </w:t>
      </w:r>
      <w:r w:rsidR="00CA0378">
        <w:t>The value 3,000 s</w:t>
      </w:r>
      <w:r w:rsidR="00CA0378">
        <w:rPr>
          <w:vertAlign w:val="superscript"/>
        </w:rPr>
        <w:t>-1</w:t>
      </w:r>
      <w:r w:rsidR="00CA0378">
        <w:t xml:space="preserve"> was not exceeded in CCOPE and therefore a correction was not applied</w:t>
      </w:r>
      <w:r w:rsidR="005765CB">
        <w:t xml:space="preserve">. </w:t>
      </w:r>
    </w:p>
    <w:p w:rsidR="00DB5C6C" w:rsidRDefault="00A00178" w:rsidP="00D11206">
      <w:pPr>
        <w:pStyle w:val="jparaindent"/>
        <w:rPr>
          <w:rFonts w:eastAsiaTheme="minorEastAsia"/>
        </w:rPr>
      </w:pPr>
      <w:r w:rsidRPr="00840C1C">
        <w:t>By reference to a calibration table</w:t>
      </w:r>
      <w:r w:rsidR="000D052D">
        <w:t xml:space="preserve"> (electronic threshold vs parti</w:t>
      </w:r>
      <w:r w:rsidR="00D06B1E">
        <w:t>cle diameter; e.g., (Cai et al. 2013</w:t>
      </w:r>
      <w:r w:rsidR="000D052D">
        <w:t>)</w:t>
      </w:r>
      <w:r w:rsidRPr="00840C1C">
        <w:t>, the UHSAS microprocessor converts scattered light pulses to particle size and accumulates the pulses in a 99 channel histogram</w:t>
      </w:r>
      <w:r w:rsidR="007B3BF0">
        <w:t xml:space="preserve">. </w:t>
      </w:r>
      <w:r w:rsidRPr="00840C1C">
        <w:t>Chan</w:t>
      </w:r>
      <w:r w:rsidR="001F1501">
        <w:t>n</w:t>
      </w:r>
      <w:r w:rsidRPr="00840C1C">
        <w:t>el wid</w:t>
      </w:r>
      <w:r>
        <w:t>ths are logarithmically uniform</w:t>
      </w:r>
      <w:r w:rsidRPr="00840C1C">
        <w:t xml:space="preserve"> </w:t>
      </w:r>
      <w:r>
        <w:t xml:space="preserve">    </w:t>
      </w:r>
      <w:r w:rsidRPr="00840C1C">
        <w:t>(</w:t>
      </w:r>
      <w:r w:rsidRPr="00840C1C">
        <w:rPr>
          <w:position w:val="-12"/>
        </w:rPr>
        <w:object w:dxaOrig="1020" w:dyaOrig="360">
          <v:shape id="_x0000_i1026" type="#_x0000_t75" style="width:49.8pt;height:19.2pt" o:ole="">
            <v:imagedata r:id="rId10" o:title=""/>
          </v:shape>
          <o:OLEObject Type="Embed" ProgID="Equation.3" ShapeID="_x0000_i1026" DrawAspect="Content" ObjectID="_1552912970" r:id="rId11"/>
        </w:object>
      </w:r>
      <w:r w:rsidRPr="00840C1C">
        <w:t xml:space="preserve"> = 0.013) over the full range of the instrument (0.055 &lt; D &lt; 1.0 </w:t>
      </w:r>
      <w:r w:rsidRPr="00840C1C">
        <w:sym w:font="Symbol" w:char="F06D"/>
      </w:r>
      <w:r w:rsidRPr="00840C1C">
        <w:t>m). During CCOPE the UHSAS was configured to sample aerosol at 0.34x10</w:t>
      </w:r>
      <w:r w:rsidRPr="00840C1C">
        <w:rPr>
          <w:vertAlign w:val="superscript"/>
        </w:rPr>
        <w:t>-6</w:t>
      </w:r>
      <w:r w:rsidRPr="00840C1C">
        <w:t xml:space="preserve"> m</w:t>
      </w:r>
      <w:r w:rsidRPr="00840C1C">
        <w:rPr>
          <w:vertAlign w:val="superscript"/>
        </w:rPr>
        <w:t xml:space="preserve">3 </w:t>
      </w:r>
      <w:r w:rsidRPr="00840C1C">
        <w:t>s</w:t>
      </w:r>
      <w:r w:rsidRPr="00840C1C">
        <w:rPr>
          <w:vertAlign w:val="superscript"/>
        </w:rPr>
        <w:t>-1</w:t>
      </w:r>
      <w:r w:rsidRPr="00840C1C">
        <w:t xml:space="preserve"> and to record a count histogram every 10 s</w:t>
      </w:r>
      <w:r w:rsidR="007B3BF0">
        <w:t xml:space="preserve">. </w:t>
      </w:r>
      <w:r w:rsidR="002D1331" w:rsidRPr="002D1331">
        <w:t>Eq. 4</w:t>
      </w:r>
      <w:r w:rsidRPr="002D1331">
        <w:t xml:space="preserve"> </w:t>
      </w:r>
      <w:r w:rsidRPr="00840C1C">
        <w:t>was used to evaluate the components of the aerosol size distribution (ASD)</w:t>
      </w:r>
      <w:r w:rsidR="005765CB">
        <w:t xml:space="preserve">. </w:t>
      </w:r>
      <w:r>
        <w:t xml:space="preserve">                                              </w:t>
      </w:r>
      <w:r w:rsidR="00113C58">
        <w:rPr>
          <w:rFonts w:eastAsiaTheme="minorEastAsia"/>
        </w:rPr>
        <w:t xml:space="preserve">  </w:t>
      </w:r>
    </w:p>
    <w:p w:rsidR="00B1292B" w:rsidRDefault="007C776C" w:rsidP="00FD3031">
      <w:pPr>
        <w:pStyle w:val="jeqn"/>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dN</m:t>
                    </m:r>
                  </m:num>
                  <m:den>
                    <m:r>
                      <w:rPr>
                        <w:rFonts w:ascii="Cambria Math" w:hAnsi="Cambria Math"/>
                      </w:rPr>
                      <m:t>d</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e>
            </m:d>
          </m:e>
          <m:sub>
            <m:r>
              <w:rPr>
                <w:rFonts w:ascii="Cambria Math" w:hAnsi="Cambria Math"/>
              </w:rPr>
              <m:t>i</m:t>
            </m:r>
          </m:sub>
        </m:sSub>
        <m:r>
          <w:rPr>
            <w:rFonts w:ascii="Cambria Math" w:hAnsi="Cambria Math"/>
          </w:rPr>
          <m:t xml:space="preserve"> =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acc>
              <m:accPr>
                <m:chr m:val="̇"/>
                <m:ctrlPr>
                  <w:rPr>
                    <w:rFonts w:ascii="Cambria Math" w:hAnsi="Cambria Math"/>
                    <w:i/>
                  </w:rPr>
                </m:ctrlPr>
              </m:accPr>
              <m:e>
                <m:r>
                  <w:rPr>
                    <w:rFonts w:ascii="Cambria Math" w:hAnsi="Cambria Math"/>
                  </w:rPr>
                  <m:t xml:space="preserve">V </m:t>
                </m:r>
              </m:e>
            </m:acc>
            <m:r>
              <w:rPr>
                <w:rFonts w:ascii="Cambria Math" w:hAnsi="Cambria Math"/>
              </w:rPr>
              <m:t>∙ ∆t ∙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oMath>
      <w:r w:rsidR="001D1FAE">
        <w:t xml:space="preserve">                                   </w:t>
      </w:r>
      <w:r w:rsidR="001D1FAE">
        <w:tab/>
        <w:t xml:space="preserve">       </w:t>
      </w:r>
      <w:r w:rsidR="00A00178">
        <w:t xml:space="preserve">   </w:t>
      </w:r>
      <w:r w:rsidR="00DB5C6C">
        <w:t xml:space="preserve">                                </w:t>
      </w:r>
      <w:r w:rsidR="00A00178" w:rsidRPr="002D1331">
        <w:t xml:space="preserve"> (</w:t>
      </w:r>
      <w:r w:rsidR="002D1331" w:rsidRPr="002D1331">
        <w:t>4</w:t>
      </w:r>
      <w:r w:rsidR="00A00178" w:rsidRPr="002D1331">
        <w:t>)</w:t>
      </w:r>
    </w:p>
    <w:p w:rsidR="00A00178" w:rsidRPr="00B7364D" w:rsidRDefault="00A00178" w:rsidP="00B7364D">
      <w:pPr>
        <w:pStyle w:val="jparanoindent"/>
      </w:pPr>
      <w:r w:rsidRPr="00B7364D">
        <w:t xml:space="preserve">Here </w:t>
      </w:r>
      <w:r w:rsidR="00AA2BFC" w:rsidRPr="00AA2BFC">
        <w:rPr>
          <w:position w:val="-12"/>
        </w:rPr>
        <w:object w:dxaOrig="420" w:dyaOrig="360">
          <v:shape id="_x0000_i1027" type="#_x0000_t75" style="width:21pt;height:19.2pt" o:ole="">
            <v:imagedata r:id="rId12" o:title=""/>
          </v:shape>
          <o:OLEObject Type="Embed" ProgID="Equation.3" ShapeID="_x0000_i1027" DrawAspect="Content" ObjectID="_1552912971" r:id="rId13"/>
        </w:object>
      </w:r>
      <w:r w:rsidRPr="00B7364D">
        <w:t xml:space="preserve"> is the “</w:t>
      </w:r>
      <w:proofErr w:type="spellStart"/>
      <w:r w:rsidRPr="00B7364D">
        <w:t>i</w:t>
      </w:r>
      <w:proofErr w:type="spellEnd"/>
      <w:r w:rsidRPr="00B7364D">
        <w:t xml:space="preserve"> </w:t>
      </w:r>
      <w:proofErr w:type="spellStart"/>
      <w:r w:rsidRPr="00B7364D">
        <w:t>th</w:t>
      </w:r>
      <w:proofErr w:type="spellEnd"/>
      <w:r w:rsidRPr="00B7364D">
        <w:t xml:space="preserve">” component of the count histogram, </w:t>
      </w:r>
      <w:r w:rsidRPr="00B7364D">
        <w:object w:dxaOrig="240" w:dyaOrig="320">
          <v:shape id="_x0000_i1028" type="#_x0000_t75" style="width:11.4pt;height:15.6pt" o:ole="">
            <v:imagedata r:id="rId14" o:title=""/>
          </v:shape>
          <o:OLEObject Type="Embed" ProgID="Equation.3" ShapeID="_x0000_i1028" DrawAspect="Content" ObjectID="_1552912972" r:id="rId15"/>
        </w:object>
      </w:r>
      <w:r w:rsidRPr="00B7364D">
        <w:t xml:space="preserve">is the aerosol sample flowrate, and </w:t>
      </w:r>
      <w:r w:rsidRPr="00B7364D">
        <w:object w:dxaOrig="320" w:dyaOrig="279">
          <v:shape id="_x0000_i1029" type="#_x0000_t75" style="width:15.6pt;height:13.8pt" o:ole="">
            <v:imagedata r:id="rId16" o:title=""/>
          </v:shape>
          <o:OLEObject Type="Embed" ProgID="Equation.3" ShapeID="_x0000_i1029" DrawAspect="Content" ObjectID="_1552912973" r:id="rId17"/>
        </w:object>
      </w:r>
      <w:r w:rsidRPr="00B7364D">
        <w:t xml:space="preserve">= 10 s. </w:t>
      </w:r>
    </w:p>
    <w:p w:rsidR="00A00178" w:rsidRPr="006F0CC0" w:rsidRDefault="00A00178" w:rsidP="00B7364D">
      <w:pPr>
        <w:pStyle w:val="jparaindent"/>
      </w:pPr>
      <w:r>
        <w:t xml:space="preserve">Because the RH at the </w:t>
      </w:r>
      <w:r w:rsidR="006060F9">
        <w:t>Arauco Site</w:t>
      </w:r>
      <w:r>
        <w:t xml:space="preserve"> was often in excess of 80 % (</w:t>
      </w:r>
      <w:r w:rsidRPr="002D1331">
        <w:t xml:space="preserve">Fig. </w:t>
      </w:r>
      <w:r w:rsidR="002D1331" w:rsidRPr="002D1331">
        <w:t>4</w:t>
      </w:r>
      <w:r w:rsidR="002D1331">
        <w:t>c</w:t>
      </w:r>
      <w:r w:rsidRPr="002D1331">
        <w:t xml:space="preserve">), </w:t>
      </w:r>
      <w:r>
        <w:t>particles entering the tube were haze droplets</w:t>
      </w:r>
      <w:r w:rsidR="007B3BF0">
        <w:t xml:space="preserve">. </w:t>
      </w:r>
      <w:r w:rsidRPr="006F0CC0">
        <w:t>As these haze droplets transit the tube they experience an increase in temperature, a RH decrease and thereby a decreased D.</w:t>
      </w:r>
      <w:r w:rsidRPr="006F0CC0">
        <w:rPr>
          <w:color w:val="FF0000"/>
        </w:rPr>
        <w:t xml:space="preserve"> </w:t>
      </w:r>
      <w:r w:rsidRPr="006F0CC0">
        <w:t>The lowest relative humidity experienced by a particle is at the point of detection where the aerosol temperature is presumed to be the value measured by the UHSAS</w:t>
      </w:r>
      <w:r w:rsidR="007B3BF0">
        <w:t xml:space="preserve">. </w:t>
      </w:r>
      <w:r w:rsidRPr="006F0CC0">
        <w:t>The RH at that point is</w:t>
      </w:r>
    </w:p>
    <w:p w:rsidR="00B1292B" w:rsidRDefault="00A00178" w:rsidP="00FD3031">
      <w:pPr>
        <w:pStyle w:val="jeqn"/>
      </w:pPr>
      <w:r w:rsidRPr="00DA0E01">
        <w:t xml:space="preserve"> </w:t>
      </w:r>
      <m:oMath>
        <m:sSub>
          <m:sSubPr>
            <m:ctrlPr>
              <w:rPr>
                <w:rFonts w:ascii="Cambria Math" w:hAnsi="Cambria Math"/>
                <w:i/>
              </w:rPr>
            </m:ctrlPr>
          </m:sSubPr>
          <m:e>
            <m:r>
              <w:rPr>
                <w:rFonts w:ascii="Cambria Math" w:hAnsi="Cambria Math"/>
              </w:rPr>
              <m:t>RH</m:t>
            </m:r>
          </m:e>
          <m:sub>
            <m:r>
              <w:rPr>
                <w:rFonts w:ascii="Cambria Math" w:hAnsi="Cambria Math"/>
              </w:rPr>
              <m:t>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m:t>
            </m:r>
          </m:den>
        </m:f>
      </m:oMath>
      <w:r w:rsidR="00FD3031">
        <w:tab/>
      </w:r>
      <w:r>
        <w:t>(</w:t>
      </w:r>
      <w:r w:rsidR="002D1331" w:rsidRPr="002D1331">
        <w:t>5</w:t>
      </w:r>
      <w:r w:rsidRPr="00DA0E01">
        <w:t xml:space="preserve">) </w:t>
      </w:r>
    </w:p>
    <w:p w:rsidR="00A00178" w:rsidRPr="00463F78" w:rsidRDefault="00A00178" w:rsidP="00B7364D">
      <w:pPr>
        <w:pStyle w:val="jparanoindent"/>
      </w:pPr>
      <w:r w:rsidRPr="00DA0E01">
        <w:lastRenderedPageBreak/>
        <w:t xml:space="preserve">where </w:t>
      </w:r>
      <w:r w:rsidR="00B7364D">
        <w:rPr>
          <w:i/>
        </w:rPr>
        <w:t>T</w:t>
      </w:r>
      <w:r w:rsidR="00B7364D">
        <w:rPr>
          <w:i/>
          <w:vertAlign w:val="subscript"/>
        </w:rPr>
        <w:t>U</w:t>
      </w:r>
      <w:r w:rsidR="00B7364D">
        <w:rPr>
          <w:i/>
        </w:rPr>
        <w:t xml:space="preserve"> </w:t>
      </w:r>
      <w:r w:rsidRPr="00DA0E01">
        <w:t>is the UHSAS temperature, and</w:t>
      </w:r>
      <w:r w:rsidR="00B7364D">
        <w:t xml:space="preserve"> </w:t>
      </w:r>
      <w:r w:rsidR="00B7364D">
        <w:rPr>
          <w:i/>
        </w:rPr>
        <w:t>RH</w:t>
      </w:r>
      <w:r w:rsidR="00B7364D">
        <w:rPr>
          <w:i/>
          <w:vertAlign w:val="subscript"/>
        </w:rPr>
        <w:t>A</w:t>
      </w:r>
      <w:r w:rsidRPr="00DA0E01">
        <w:t xml:space="preserve"> and </w:t>
      </w:r>
      <w:r w:rsidR="00B7364D">
        <w:rPr>
          <w:i/>
        </w:rPr>
        <w:t>T</w:t>
      </w:r>
      <w:r w:rsidR="00B7364D">
        <w:rPr>
          <w:i/>
          <w:vertAlign w:val="subscript"/>
        </w:rPr>
        <w:t>A</w:t>
      </w:r>
      <w:r w:rsidR="00B7364D">
        <w:rPr>
          <w:i/>
        </w:rPr>
        <w:t xml:space="preserve"> </w:t>
      </w:r>
      <w:r w:rsidR="00B7364D">
        <w:t>are the ambient RH</w:t>
      </w:r>
      <w:r w:rsidRPr="00DA0E01">
        <w:t xml:space="preserve"> and temperature</w:t>
      </w:r>
      <w:r>
        <w:t xml:space="preserve"> respectively</w:t>
      </w:r>
      <w:r w:rsidR="007B3BF0">
        <w:t xml:space="preserve">. </w:t>
      </w:r>
      <w:r w:rsidRPr="00EA7B28">
        <w:t>In nearly all of the sampling conducted using the UHSAS</w:t>
      </w:r>
      <w:r>
        <w:t>,</w:t>
      </w:r>
      <w:r w:rsidRPr="00EA7B28">
        <w:t xml:space="preserve"> the</w:t>
      </w:r>
      <w:r w:rsidR="00B7364D">
        <w:t xml:space="preserve"> </w:t>
      </w:r>
      <w:r w:rsidR="00B7364D">
        <w:rPr>
          <w:i/>
        </w:rPr>
        <w:t>RH</w:t>
      </w:r>
      <w:r w:rsidR="00B7364D">
        <w:rPr>
          <w:i/>
          <w:vertAlign w:val="subscript"/>
        </w:rPr>
        <w:t>U</w:t>
      </w:r>
      <w:r w:rsidR="00B7364D" w:rsidRPr="00EA7B28">
        <w:t xml:space="preserve"> </w:t>
      </w:r>
      <w:r w:rsidRPr="00EA7B28">
        <w:t xml:space="preserve">was less than 60 % - as seen in </w:t>
      </w:r>
      <w:r w:rsidRPr="002D1331">
        <w:t xml:space="preserve">Fig. </w:t>
      </w:r>
      <w:r w:rsidR="002D1331" w:rsidRPr="002D1331">
        <w:t>4d</w:t>
      </w:r>
      <w:r w:rsidRPr="002D1331">
        <w:t xml:space="preserve"> </w:t>
      </w:r>
      <w:r w:rsidRPr="00EA7B28">
        <w:t>- and this suggests that the particles detected by the UHSAS were partially dried.</w:t>
      </w:r>
      <w:r>
        <w:t xml:space="preserve"> </w:t>
      </w:r>
      <w:r w:rsidRPr="00EA7B28">
        <w:t>Partial drying of the particles is sup</w:t>
      </w:r>
      <w:r>
        <w:t>ported by calculations (</w:t>
      </w:r>
      <w:r w:rsidR="003F0F65">
        <w:t xml:space="preserve">Lewis and Schwartz 2004; </w:t>
      </w:r>
      <w:r>
        <w:t xml:space="preserve">their Figure 8) </w:t>
      </w:r>
      <w:r w:rsidRPr="00EA7B28">
        <w:t xml:space="preserve">showing that a D = </w:t>
      </w:r>
      <w:r>
        <w:t>1.9</w:t>
      </w:r>
      <w:r w:rsidRPr="00EA7B28">
        <w:t xml:space="preserve"> </w:t>
      </w:r>
      <w:r w:rsidRPr="00EA7B28">
        <w:sym w:font="Symbol" w:char="F06D"/>
      </w:r>
      <w:r>
        <w:t>m NaCl haze particle reaches its</w:t>
      </w:r>
      <w:r w:rsidRPr="00EA7B28">
        <w:t xml:space="preserve"> equilibrium size </w:t>
      </w:r>
      <w:r w:rsidRPr="0066315B">
        <w:t xml:space="preserve">(D = </w:t>
      </w:r>
      <w:r>
        <w:t>1.0</w:t>
      </w:r>
      <w:r w:rsidRPr="0066315B">
        <w:t xml:space="preserve"> </w:t>
      </w:r>
      <w:r w:rsidRPr="0066315B">
        <w:sym w:font="Symbol" w:char="F06D"/>
      </w:r>
      <w:r w:rsidRPr="0066315B">
        <w:t xml:space="preserve">m) </w:t>
      </w:r>
      <w:r w:rsidRPr="00EA7B28">
        <w:t xml:space="preserve">in </w:t>
      </w:r>
      <w:r>
        <w:t>0.4 s subsequent to a step-change of RH</w:t>
      </w:r>
      <w:r w:rsidRPr="00EA7B28">
        <w:t xml:space="preserve"> from 98 % to 80 %</w:t>
      </w:r>
      <w:r w:rsidR="007B3BF0">
        <w:t xml:space="preserve">. </w:t>
      </w:r>
      <w:r>
        <w:t>Because 0.4 s is small relative to the average residence time of particles within the inlet tube (0.8 s), it can be assumed that the sampled particles relax to their equilibrium size at</w:t>
      </w:r>
      <w:r w:rsidR="00B7364D">
        <w:t xml:space="preserve"> </w:t>
      </w:r>
      <w:r w:rsidR="00B7364D">
        <w:rPr>
          <w:i/>
        </w:rPr>
        <w:t>RH</w:t>
      </w:r>
      <w:r w:rsidR="00B7364D">
        <w:rPr>
          <w:i/>
          <w:vertAlign w:val="subscript"/>
        </w:rPr>
        <w:t>U</w:t>
      </w:r>
      <w:r>
        <w:t xml:space="preserve"> prior to detection.</w:t>
      </w:r>
    </w:p>
    <w:p w:rsidR="00A00178" w:rsidRDefault="00A00178" w:rsidP="00B7364D">
      <w:pPr>
        <w:pStyle w:val="jparaindent"/>
      </w:pPr>
      <w:r w:rsidRPr="00463F78">
        <w:t xml:space="preserve">The CPC counts particles larger than D = 0.01 </w:t>
      </w:r>
      <w:r w:rsidRPr="00463F78">
        <w:sym w:font="Symbol" w:char="F06D"/>
      </w:r>
      <w:r w:rsidRPr="00463F78">
        <w:t>m by detecting scattering produced when aerosol particles are drawn through light emitted by a solid state laser (</w:t>
      </w:r>
      <w:r w:rsidRPr="00463F78">
        <w:sym w:font="Symbol" w:char="F06C"/>
      </w:r>
      <w:r w:rsidRPr="00463F78">
        <w:t xml:space="preserve"> = 0.78 </w:t>
      </w:r>
      <w:r w:rsidRPr="00463F78">
        <w:sym w:font="Symbol" w:char="F06D"/>
      </w:r>
      <w:r w:rsidRPr="00463F78">
        <w:t>m)</w:t>
      </w:r>
      <w:r w:rsidR="007B3BF0">
        <w:t xml:space="preserve">. </w:t>
      </w:r>
      <w:r>
        <w:t>Prior to detection</w:t>
      </w:r>
      <w:r w:rsidRPr="00463F78">
        <w:t>, D is increased by at least a factor of 10</w:t>
      </w:r>
      <w:r>
        <w:t xml:space="preserve"> via</w:t>
      </w:r>
      <w:r w:rsidRPr="00463F78">
        <w:t xml:space="preserve"> alcohol condensation (</w:t>
      </w:r>
      <w:r>
        <w:t>TSI 2000</w:t>
      </w:r>
      <w:r w:rsidR="00D06B1E">
        <w:t>a</w:t>
      </w:r>
      <w:r w:rsidRPr="00463F78">
        <w:t>)</w:t>
      </w:r>
      <w:r w:rsidR="007B3BF0">
        <w:t xml:space="preserve">. </w:t>
      </w:r>
      <w:r w:rsidRPr="00463F78">
        <w:t>The aerosol sample flowrate in the CPC is set at 1.7x10</w:t>
      </w:r>
      <w:r w:rsidRPr="00463F78">
        <w:rPr>
          <w:vertAlign w:val="superscript"/>
        </w:rPr>
        <w:t>-5</w:t>
      </w:r>
      <w:r w:rsidRPr="00463F78">
        <w:t xml:space="preserve"> m</w:t>
      </w:r>
      <w:r w:rsidRPr="00463F78">
        <w:rPr>
          <w:vertAlign w:val="superscript"/>
        </w:rPr>
        <w:t>3</w:t>
      </w:r>
      <w:r w:rsidRPr="00463F78">
        <w:t xml:space="preserve"> s</w:t>
      </w:r>
      <w:r w:rsidRPr="00463F78">
        <w:rPr>
          <w:vertAlign w:val="superscript"/>
        </w:rPr>
        <w:t>-1</w:t>
      </w:r>
      <w:r w:rsidRPr="00463F78">
        <w:t xml:space="preserve"> with a critical orifice</w:t>
      </w:r>
      <w:r w:rsidR="007B3BF0">
        <w:t xml:space="preserve">. </w:t>
      </w:r>
      <w:r>
        <w:t>The CPC can detect a maximum concentration of 10,000 cm</w:t>
      </w:r>
      <w:r>
        <w:rPr>
          <w:vertAlign w:val="superscript"/>
        </w:rPr>
        <w:t>-3</w:t>
      </w:r>
      <w:r w:rsidR="007B3BF0">
        <w:t xml:space="preserve">. </w:t>
      </w:r>
      <w:r>
        <w:t xml:space="preserve">CPC </w:t>
      </w:r>
      <w:r w:rsidR="000D052D">
        <w:t>concentrations were recorded once per</w:t>
      </w:r>
      <w:r>
        <w:t xml:space="preserve"> second during CCOPE</w:t>
      </w:r>
      <w:r w:rsidR="007B3BF0">
        <w:t xml:space="preserve">. </w:t>
      </w:r>
    </w:p>
    <w:p w:rsidR="004A74E1" w:rsidRPr="004A74E1" w:rsidRDefault="004131FE" w:rsidP="00D11206">
      <w:pPr>
        <w:pStyle w:val="jhead"/>
      </w:pPr>
      <w:r>
        <w:t>Calibration</w:t>
      </w:r>
    </w:p>
    <w:p w:rsidR="00B1292B" w:rsidRDefault="00A00178" w:rsidP="00B7364D">
      <w:pPr>
        <w:pStyle w:val="jparaindent"/>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r w:rsidRPr="00312A5A">
        <w:t>μm</w:t>
      </w:r>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μm particles. Here the mode </w:t>
      </w:r>
      <w:r>
        <w:t xml:space="preserve">measured by the UHSAS agrees with that measured by the SMPS and the concentrations reported by the UHSAS </w:t>
      </w:r>
      <w:r>
        <w:lastRenderedPageBreak/>
        <w:t>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μm (</w:t>
      </w:r>
      <w:r w:rsidR="00487099">
        <w:t xml:space="preserve">Fig. </w:t>
      </w:r>
      <w:r w:rsidR="002D1331" w:rsidRPr="002D1331">
        <w:t>6</w:t>
      </w:r>
      <w:r w:rsidRPr="002D1331">
        <w:t>a) and for D &gt; 0.2 μm</w:t>
      </w:r>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4131FE" w:rsidP="00D11206">
      <w:pPr>
        <w:pStyle w:val="jhead"/>
      </w:pPr>
      <w:r>
        <w:t>Analysis</w:t>
      </w:r>
    </w:p>
    <w:p w:rsidR="004A74E1" w:rsidRPr="00FD01BF" w:rsidRDefault="007531D2" w:rsidP="00B7364D">
      <w:pPr>
        <w:pStyle w:val="jhead"/>
      </w:pPr>
      <w:r>
        <w:t>Air Mass Classification</w:t>
      </w:r>
    </w:p>
    <w:p w:rsidR="002C3B15" w:rsidRDefault="00D92E4F" w:rsidP="00B7364D">
      <w:pPr>
        <w:pStyle w:val="jparaindent"/>
      </w:pPr>
      <w:r>
        <w:t>Within the town of Arauco, and within the Arauco region, many burn wood for residential heating especially during winter</w:t>
      </w:r>
      <w:r w:rsidR="007B3BF0">
        <w:t xml:space="preserve">. </w:t>
      </w:r>
      <w:r>
        <w:t>Wood Combustion is a significant source of aerosol 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B812BC">
        <w:t>When winds were northwesterly</w:t>
      </w:r>
      <w:r w:rsidR="00382227">
        <w:t xml:space="preserve">,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w:t>
      </w:r>
      <w:proofErr w:type="spellStart"/>
      <w:r w:rsidR="00382227">
        <w:t>Ministerio</w:t>
      </w:r>
      <w:proofErr w:type="spellEnd"/>
      <w:r w:rsidR="00382227">
        <w:t xml:space="preserve">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r w:rsidR="00801D2B" w:rsidRPr="00245568">
        <w:t>Instituto</w:t>
      </w:r>
      <w:r w:rsidR="00D06B1E">
        <w:t xml:space="preserve"> </w:t>
      </w:r>
      <w:r w:rsidR="00801D2B">
        <w:t>2</w:t>
      </w:r>
      <w:r w:rsidR="00801D2B" w:rsidRPr="00245568">
        <w:t>016)</w:t>
      </w:r>
      <w:r w:rsidR="007B3BF0">
        <w:t xml:space="preserve">. </w:t>
      </w:r>
    </w:p>
    <w:p w:rsidR="00AE0299" w:rsidRDefault="00382227" w:rsidP="00D11206">
      <w:pPr>
        <w:pStyle w:val="jhead"/>
      </w:pPr>
      <w:r>
        <w:t>Air Mass</w:t>
      </w:r>
      <w:r w:rsidRPr="004A74E1">
        <w:t xml:space="preserve"> </w:t>
      </w:r>
      <w:r>
        <w:t>Classification with Wind Direction</w:t>
      </w:r>
    </w:p>
    <w:p w:rsidR="00453DAA" w:rsidRPr="00B7364D" w:rsidRDefault="00AE0299" w:rsidP="00B7364D">
      <w:pPr>
        <w:pStyle w:val="jparaindent"/>
      </w:pPr>
      <w:r w:rsidRPr="00B7364D">
        <w:t xml:space="preserve">Measured wind directions were used to determine the wind sector classification applied in the analysis of </w:t>
      </w:r>
      <w:r w:rsidR="00F27C02" w:rsidRPr="00B7364D">
        <w:t>the first research question</w:t>
      </w:r>
      <w:r w:rsidR="007B3BF0" w:rsidRPr="00B7364D">
        <w:t xml:space="preserve">. </w:t>
      </w:r>
      <w:r w:rsidRPr="00B7364D">
        <w:t>The clean and continental classifications used here are based o</w:t>
      </w:r>
      <w:r w:rsidR="00CE36F0" w:rsidRPr="00B7364D">
        <w:t>n previous work discussed in</w:t>
      </w:r>
      <w:r w:rsidRPr="00B7364D">
        <w:t xml:space="preserve"> </w:t>
      </w:r>
      <w:r w:rsidR="00DB5C6C" w:rsidRPr="00B7364D">
        <w:t>s</w:t>
      </w:r>
      <w:r w:rsidR="00E73378" w:rsidRPr="00B7364D">
        <w:t>ection</w:t>
      </w:r>
      <w:r w:rsidRPr="00B7364D">
        <w:t xml:space="preserve"> 1 and summarized in Table 1</w:t>
      </w:r>
      <w:r w:rsidR="007B3BF0" w:rsidRPr="00B7364D">
        <w:t xml:space="preserve">. </w:t>
      </w:r>
      <w:r w:rsidR="00F27C02" w:rsidRPr="00B7364D">
        <w:t>For the</w:t>
      </w:r>
      <w:r w:rsidRPr="00B7364D">
        <w:t xml:space="preserve"> comparisons of CPC concentrations at Arauco and THD (Fig. 2b), local wind measurements were used to classify the CPC measurements as clean sector or as continental sector. </w:t>
      </w:r>
      <w:r w:rsidR="008D6C56" w:rsidRPr="00B7364D">
        <w:t xml:space="preserve">The wind direction is an hourly average for both locations.  </w:t>
      </w:r>
      <w:r w:rsidRPr="00B7364D">
        <w:t>At Arau</w:t>
      </w:r>
      <w:r w:rsidR="00B812BC">
        <w:t>co, 160° to 290° was chosen as the</w:t>
      </w:r>
      <w:r w:rsidRPr="00B7364D">
        <w:t xml:space="preserve"> clean sector</w:t>
      </w:r>
      <w:r w:rsidR="007B3BF0" w:rsidRPr="00B7364D">
        <w:t xml:space="preserve">. </w:t>
      </w:r>
      <w:r w:rsidRPr="00B7364D">
        <w:t>At T</w:t>
      </w:r>
      <w:r w:rsidR="008060C9" w:rsidRPr="00B7364D">
        <w:t>HD</w:t>
      </w:r>
      <w:r w:rsidRPr="00B7364D">
        <w:t xml:space="preserve">, the clean sector </w:t>
      </w:r>
      <w:r w:rsidR="00B812BC">
        <w:t xml:space="preserve">was chosen to be from </w:t>
      </w:r>
      <w:r w:rsidRPr="00B7364D">
        <w:t>250° to 20° east of north (Fig. 8)</w:t>
      </w:r>
      <w:r w:rsidR="007B3BF0" w:rsidRPr="00B7364D">
        <w:t xml:space="preserve">. </w:t>
      </w:r>
    </w:p>
    <w:p w:rsidR="00B1292B" w:rsidRDefault="007531D2" w:rsidP="00D11206">
      <w:pPr>
        <w:pStyle w:val="jhead"/>
      </w:pPr>
      <w:r w:rsidRPr="0092531A">
        <w:lastRenderedPageBreak/>
        <w:t>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 xml:space="preserve">Trajectories were computed for arrival times </w:t>
      </w:r>
      <w:r w:rsidR="00B812BC">
        <w:t>(at the Arauco Site) occurring at</w:t>
      </w:r>
      <w:r>
        <w:t xml:space="preserve"> 0, 6, 12, and 18 UTC</w:t>
      </w:r>
      <w:r w:rsidR="007B3BF0">
        <w:t xml:space="preserve">. </w:t>
      </w:r>
      <w:r>
        <w:t>The derived trajectories are based on wind fields output to the Global Data Assimilation System (GDAS)</w:t>
      </w:r>
      <w:r w:rsidR="007B3BF0">
        <w:t xml:space="preserve">. </w:t>
      </w:r>
      <w:r>
        <w:t>The spatial resolution of the wind data is 0.5 degree. Trajectories were classified as marine or continental</w:t>
      </w:r>
      <w:r w:rsidR="007B3BF0">
        <w:t xml:space="preserve">. </w:t>
      </w:r>
      <w:r>
        <w:t>Marine trajectories were required to be over the ocean for three days before landfall at Arauco, and with minimal northerly component immediately upwind of Arauco</w:t>
      </w:r>
      <w:r w:rsidR="007B3BF0">
        <w:t xml:space="preserve">. </w:t>
      </w:r>
      <w:r>
        <w:t xml:space="preserve">All other trajectories were classified as continental. There are 22 marine trajectories </w:t>
      </w:r>
      <w:r w:rsidR="00B812BC">
        <w:t>in the UHSAS data set</w:t>
      </w:r>
      <w:r>
        <w:t xml:space="preserve">. </w:t>
      </w:r>
    </w:p>
    <w:p w:rsidR="00D11206"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r w:rsidR="00AE0299">
        <w:t>SSA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94DA7" w:rsidRPr="00B7364D" w:rsidRDefault="0092531A" w:rsidP="00B7364D">
      <w:pPr>
        <w:pStyle w:val="jhead"/>
        <w:rPr>
          <w:rFonts w:eastAsia="Calibri" w:cs="Times New Roman"/>
          <w:szCs w:val="24"/>
        </w:rPr>
      </w:pPr>
      <w:r>
        <w:t>Filtering of the CPC and UHSAS Time Sequences</w:t>
      </w:r>
    </w:p>
    <w:p w:rsidR="00593D3A" w:rsidRDefault="008E4C7E" w:rsidP="00B7364D">
      <w:pPr>
        <w:pStyle w:val="jparaindent"/>
      </w:pPr>
      <w:r>
        <w:t>For each marine trajectory, a two-hour time sequence, centered on the arrival time, was plotted and analyzed. An example plot is shown in Fig. 10a – c</w:t>
      </w:r>
      <w:r w:rsidR="005765CB">
        <w:t xml:space="preserve">. </w:t>
      </w:r>
      <w:r>
        <w:t>Fig. 10a shows the sequence of CPC values sampled every second (i.e., 1-s sampl</w:t>
      </w:r>
      <w:r w:rsidR="00D06B1E">
        <w:t>es here referred to as fast_CPC</w:t>
      </w:r>
      <w:r>
        <w:t xml:space="preserve">), and Fig. 10b shows values sampled every 10 seconds (i.e., 0.1-s samples here referred to as </w:t>
      </w:r>
      <w:r w:rsidRPr="00D06B1E">
        <w:t>N</w:t>
      </w:r>
      <w:r w:rsidRPr="00D06B1E">
        <w:rPr>
          <w:vertAlign w:val="subscript"/>
        </w:rPr>
        <w:t>CPC</w:t>
      </w:r>
      <w:r>
        <w:t xml:space="preserve">). This </w:t>
      </w:r>
      <w:r>
        <w:lastRenderedPageBreak/>
        <w:t>particular example was picked because it exhibits variability (Fig. 10a) that may have been caused by local pollution</w:t>
      </w:r>
      <w:r w:rsidR="007B3BF0">
        <w:t xml:space="preserve">. </w:t>
      </w:r>
      <w:r>
        <w:t>Some of this variability was removed via the following procedure</w:t>
      </w:r>
      <w:r w:rsidR="00593D3A">
        <w:t>.</w:t>
      </w:r>
    </w:p>
    <w:p w:rsidR="008E4C7E" w:rsidRDefault="008E4C7E" w:rsidP="00B7364D">
      <w:pPr>
        <w:pStyle w:val="jparaindent"/>
      </w:pPr>
      <w:r>
        <w:t>First, the fast_CPC values were used to determine, for each 10 s of the sequence, a concentration relative standard deviation (</w:t>
      </w:r>
      <w:r w:rsidRPr="00895E34">
        <w:sym w:font="Symbol" w:char="F073"/>
      </w:r>
      <w:r w:rsidRPr="00895E34">
        <w:t xml:space="preserve"> / </w:t>
      </w:r>
      <w:r w:rsidRPr="00895E34">
        <w:rPr>
          <w:position w:val="-6"/>
        </w:rPr>
        <w:object w:dxaOrig="220" w:dyaOrig="260">
          <v:shape id="_x0000_i1030" type="#_x0000_t75" style="width:11.4pt;height:13.2pt" o:ole="">
            <v:imagedata r:id="rId18" o:title=""/>
          </v:shape>
          <o:OLEObject Type="Embed" ProgID="Equation.3" ShapeID="_x0000_i1030" DrawAspect="Content" ObjectID="_1552912974" r:id="rId19"/>
        </w:object>
      </w:r>
      <w:r>
        <w:t>)</w:t>
      </w:r>
      <w:r w:rsidR="007B3BF0">
        <w:t xml:space="preserve">. </w:t>
      </w:r>
      <w:r>
        <w:t xml:space="preserve">Second, if </w:t>
      </w:r>
      <w:r w:rsidRPr="00895E34">
        <w:sym w:font="Symbol" w:char="F073"/>
      </w:r>
      <w:r w:rsidRPr="00895E34">
        <w:t xml:space="preserve"> / </w:t>
      </w:r>
      <w:r w:rsidRPr="00895E34">
        <w:rPr>
          <w:position w:val="-6"/>
        </w:rPr>
        <w:object w:dxaOrig="220" w:dyaOrig="260">
          <v:shape id="_x0000_i1031" type="#_x0000_t75" style="width:11.4pt;height:13.2pt" o:ole="">
            <v:imagedata r:id="rId18" o:title=""/>
          </v:shape>
          <o:OLEObject Type="Embed" ProgID="Equation.3" ShapeID="_x0000_i1031" DrawAspect="Content" ObjectID="_1552912975" r:id="rId20"/>
        </w:object>
      </w:r>
      <w:r w:rsidRPr="00895E34">
        <w:t xml:space="preserve"> &gt; 0.02</w:t>
      </w:r>
      <w:r w:rsidR="00087B2F">
        <w:t xml:space="preserve"> </w:t>
      </w:r>
      <w:r>
        <w:t>the datum was discarded</w:t>
      </w:r>
      <w:r w:rsidR="007B3BF0">
        <w:t xml:space="preserve">. </w:t>
      </w:r>
      <w:r>
        <w:t xml:space="preserve">Fig. 10c shows the </w:t>
      </w:r>
      <w:r w:rsidRPr="00593D3A">
        <w:t>N</w:t>
      </w:r>
      <w:r w:rsidRPr="00593D3A">
        <w:rPr>
          <w:vertAlign w:val="subscript"/>
        </w:rPr>
        <w:t>CPC</w:t>
      </w:r>
      <w:r>
        <w:t xml:space="preserve"> sequence after application of the procedure</w:t>
      </w:r>
      <w:r w:rsidR="007B3BF0">
        <w:t xml:space="preserve">. </w:t>
      </w:r>
      <w:r w:rsidR="00087B2F">
        <w:t>We</w:t>
      </w:r>
      <w:r>
        <w:t xml:space="preserve"> refer to the output of the procedure as the filtered </w:t>
      </w:r>
      <w:r w:rsidRPr="00593D3A">
        <w:t>N</w:t>
      </w:r>
      <w:r w:rsidRPr="00593D3A">
        <w:rPr>
          <w:vertAlign w:val="subscript"/>
        </w:rPr>
        <w:t>CPC</w:t>
      </w:r>
      <w:r w:rsidR="007B3BF0" w:rsidRPr="00593D3A">
        <w:t>.</w:t>
      </w:r>
      <w:r w:rsidR="007B3BF0">
        <w:t xml:space="preserve"> </w:t>
      </w:r>
      <w:r>
        <w:t xml:space="preserve">The filtered </w:t>
      </w:r>
      <w:r w:rsidRPr="00593D3A">
        <w:t>N</w:t>
      </w:r>
      <w:r w:rsidRPr="00593D3A">
        <w:rPr>
          <w:vertAlign w:val="subscript"/>
        </w:rPr>
        <w:t>CPC</w:t>
      </w:r>
      <w:r w:rsidR="001655C1" w:rsidRPr="00593D3A">
        <w:t xml:space="preserve"> </w:t>
      </w:r>
      <w:r w:rsidR="001655C1">
        <w:t xml:space="preserve">and </w:t>
      </w:r>
      <w:r>
        <w:t xml:space="preserve">filtered UHSAS </w:t>
      </w:r>
      <w:r w:rsidR="001655C1">
        <w:t>ASDs</w:t>
      </w:r>
      <w:r>
        <w:t xml:space="preserve"> are used in the analyses presented in </w:t>
      </w:r>
      <w:r w:rsidR="001655C1">
        <w:t>sections</w:t>
      </w:r>
      <w:r w:rsidR="00D4754D">
        <w:t xml:space="preserve"> 6.2</w:t>
      </w:r>
      <w:r w:rsidR="001655C1">
        <w:t xml:space="preserve"> and</w:t>
      </w:r>
      <w:r w:rsidR="00D4754D">
        <w:t xml:space="preserve"> 6.3</w:t>
      </w:r>
      <w:r w:rsidR="007B3BF0">
        <w:t xml:space="preserve">. </w:t>
      </w:r>
      <w:r>
        <w:t xml:space="preserve">In </w:t>
      </w:r>
      <w:r w:rsidR="001655C1">
        <w:t>section</w:t>
      </w:r>
      <w:r w:rsidR="00D4754D">
        <w:t xml:space="preserve"> 6.1</w:t>
      </w:r>
      <w:r w:rsidR="008D6C56">
        <w:t>, the fast_CPC</w:t>
      </w:r>
      <w:r>
        <w:t xml:space="preserve"> values are </w:t>
      </w:r>
      <w:r w:rsidR="008D6C56">
        <w:t xml:space="preserve">hourly averaged for comparison to the </w:t>
      </w:r>
      <w:r w:rsidR="00087B2F">
        <w:t>hourly averaged THD CPC data.</w:t>
      </w:r>
    </w:p>
    <w:p w:rsidR="00494DA7" w:rsidRPr="00494DA7" w:rsidRDefault="00494DA7" w:rsidP="00B7364D">
      <w:pPr>
        <w:pStyle w:val="jhead"/>
      </w:pPr>
      <w:r>
        <w:t>Small Particle Fraction</w:t>
      </w:r>
    </w:p>
    <w:p w:rsidR="00D34C21" w:rsidRDefault="00D34C21" w:rsidP="00B7364D">
      <w:pPr>
        <w:pStyle w:val="jparaindent"/>
      </w:pPr>
      <w:r>
        <w:t>A derived aerosol property, referred to as the small particle fraction, was formulated with the filtered N</w:t>
      </w:r>
      <w:r>
        <w:rPr>
          <w:vertAlign w:val="subscript"/>
        </w:rPr>
        <w:t>CPC</w:t>
      </w:r>
      <w:r>
        <w:t xml:space="preserve"> and the filtered zeroth moment of the UHSAS ASD (</w:t>
      </w:r>
      <w:r w:rsidRPr="00D34C21">
        <w:t>N</w:t>
      </w:r>
      <w:r w:rsidRPr="00D34C21">
        <w:rPr>
          <w:vertAlign w:val="subscript"/>
        </w:rPr>
        <w:t>UHSAS</w:t>
      </w:r>
      <w:r>
        <w:t>)</w:t>
      </w:r>
      <w:r w:rsidR="007B3BF0">
        <w:t xml:space="preserve">. </w:t>
      </w:r>
    </w:p>
    <w:p w:rsidR="00B1292B" w:rsidRDefault="00D34C21" w:rsidP="00700431">
      <w:pPr>
        <w:pStyle w:val="jeqn"/>
        <w:rPr>
          <w:rFonts w:eastAsiaTheme="minorEastAsia"/>
          <w:color w:val="FF0000"/>
        </w:rPr>
      </w:p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CPC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UHSAS</m:t>
                </m:r>
              </m:sub>
            </m:sSub>
          </m:num>
          <m:den>
            <m:sSub>
              <m:sSubPr>
                <m:ctrlPr>
                  <w:rPr>
                    <w:rFonts w:ascii="Cambria Math" w:hAnsi="Cambria Math"/>
                  </w:rPr>
                </m:ctrlPr>
              </m:sSubPr>
              <m:e>
                <m:r>
                  <w:rPr>
                    <w:rFonts w:ascii="Cambria Math" w:hAnsi="Cambria Math"/>
                  </w:rPr>
                  <m:t>N</m:t>
                </m:r>
              </m:e>
              <m:sub>
                <m:r>
                  <w:rPr>
                    <w:rFonts w:ascii="Cambria Math" w:hAnsi="Cambria Math"/>
                  </w:rPr>
                  <m:t>CPC</m:t>
                </m:r>
              </m:sub>
            </m:sSub>
          </m:den>
        </m:f>
      </m:oMath>
      <w:r w:rsidR="00700431">
        <w:rPr>
          <w:rFonts w:eastAsiaTheme="minorEastAsia"/>
        </w:rPr>
        <w:tab/>
      </w:r>
      <w:r w:rsidRPr="003E36AE">
        <w:rPr>
          <w:rFonts w:eastAsiaTheme="minorEastAsia"/>
        </w:rPr>
        <w:t>(6)</w:t>
      </w:r>
    </w:p>
    <w:p w:rsidR="00453DAA" w:rsidRDefault="00D34C21" w:rsidP="00B7364D">
      <w:pPr>
        <w:pStyle w:val="jparanoindent"/>
      </w:pPr>
      <w:r>
        <w:t>Because N</w:t>
      </w:r>
      <w:r>
        <w:rPr>
          <w:vertAlign w:val="subscript"/>
        </w:rPr>
        <w:t>CPC</w:t>
      </w:r>
      <w:r>
        <w:t xml:space="preserve"> is the integrated concentration of all particle size categories, and the </w:t>
      </w:r>
      <w:r w:rsidRPr="008F795F">
        <w:rPr>
          <w:i/>
        </w:rPr>
        <w:t>N</w:t>
      </w:r>
      <w:r w:rsidRPr="008F795F">
        <w:rPr>
          <w:i/>
          <w:vertAlign w:val="subscript"/>
        </w:rPr>
        <w:t>UHSAS</w:t>
      </w:r>
      <w:r>
        <w:t xml:space="preserve"> is the concentration of particles larger than 0.055 μm, </w:t>
      </w:r>
      <w:r w:rsidRPr="008515D7">
        <w:rPr>
          <w:i/>
        </w:rPr>
        <w:t>F</w:t>
      </w:r>
      <w:r>
        <w:t xml:space="preserve"> represents the fraction smaller than 0.055 μm. Assuming particles larger than D = 0.055 μm are not changing, an </w:t>
      </w:r>
      <w:r w:rsidRPr="008515D7">
        <w:rPr>
          <w:i/>
        </w:rPr>
        <w:t>F</w:t>
      </w:r>
      <w:r>
        <w:t xml:space="preserve"> ~ 0 is an indicator of a net sink having occurred at </w:t>
      </w:r>
      <w:r w:rsidRPr="004C3F39">
        <w:t xml:space="preserve">D </w:t>
      </w:r>
      <w:r>
        <w:t xml:space="preserve">&lt; 0.055 μm and an </w:t>
      </w:r>
      <w:r w:rsidRPr="008515D7">
        <w:rPr>
          <w:i/>
        </w:rPr>
        <w:t>F</w:t>
      </w:r>
      <w:r>
        <w:t xml:space="preserve"> ~ 1 is an indicator of a net source having occurred at </w:t>
      </w:r>
      <w:r w:rsidRPr="004C3F39">
        <w:t>D</w:t>
      </w:r>
      <w:r w:rsidR="00E720A1">
        <w:t xml:space="preserve"> &lt; 0.055 μm.</w:t>
      </w:r>
    </w:p>
    <w:p w:rsidR="00F976DA" w:rsidRPr="00D26C8A" w:rsidRDefault="0077549C" w:rsidP="00B7364D">
      <w:pPr>
        <w:pStyle w:val="jhead"/>
      </w:pPr>
      <w:r>
        <w:t>Sea Salt Aerosol</w:t>
      </w:r>
    </w:p>
    <w:p w:rsidR="007B1607" w:rsidRPr="008515D7" w:rsidRDefault="007B1607" w:rsidP="007B1607">
      <w:pPr>
        <w:pStyle w:val="jparaindent"/>
        <w:rPr>
          <w:rFonts w:asciiTheme="minorHAnsi" w:hAnsiTheme="minorHAnsi" w:cstheme="minorBidi"/>
          <w:sz w:val="22"/>
          <w:szCs w:val="22"/>
        </w:rPr>
      </w:pPr>
      <w:r>
        <w:t xml:space="preserve">Though a correlation between oceanic wind speed and SSA particle concentration is tenuous, particularly in studies that evaluated the correlation for relatively small particles (e.g., D = 0.15 </w:t>
      </w:r>
      <w:r>
        <w:sym w:font="Symbol" w:char="F06D"/>
      </w:r>
      <w:r>
        <w:t>m; Berg et al. 1998), an increase of SSA with wind speed is documented in many publications. In their review of the topic, Lewis and Schwartz (</w:t>
      </w:r>
      <w:r w:rsidRPr="00B01F4A">
        <w:t>2004</w:t>
      </w:r>
      <w:r>
        <w:t>; herein LS04) classified</w:t>
      </w:r>
      <w:r w:rsidRPr="00C83F07">
        <w:t xml:space="preserve"> </w:t>
      </w:r>
      <w:r>
        <w:lastRenderedPageBreak/>
        <w:t xml:space="preserve">SSA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00E720A1">
        <w:t>m - were composed of sea salt.</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r>
        <w:rPr>
          <w:rFonts w:ascii="Times New Roman" w:hAnsi="Times New Roman" w:cs="Times New Roman"/>
          <w:sz w:val="24"/>
          <w:szCs w:val="24"/>
        </w:rPr>
        <w:t xml:space="preserve">SSA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6C6D2E" w:rsidRPr="00F50E0A" w:rsidRDefault="004131FE" w:rsidP="00B7364D">
      <w:pPr>
        <w:pStyle w:val="jhead"/>
      </w:pPr>
      <w:r>
        <w:t>Results</w:t>
      </w:r>
    </w:p>
    <w:p w:rsidR="001360D4" w:rsidRPr="00D26C8A" w:rsidRDefault="00F50E0A" w:rsidP="00B7364D">
      <w:pPr>
        <w:pStyle w:val="jhead"/>
      </w:pPr>
      <w:r>
        <w:t>CPC</w:t>
      </w:r>
      <w:r w:rsidR="001360D4" w:rsidRPr="00D26C8A">
        <w:t xml:space="preserve"> Concentration</w:t>
      </w:r>
      <w:r w:rsidR="004131FE">
        <w:t xml:space="preserve">s </w:t>
      </w:r>
      <w:r>
        <w:t xml:space="preserve">at </w:t>
      </w:r>
      <w:r w:rsidRPr="00B7364D">
        <w:t>Arauco</w:t>
      </w:r>
      <w:r>
        <w:t xml:space="preserve"> and THD</w:t>
      </w:r>
    </w:p>
    <w:p w:rsidR="003502FC" w:rsidRDefault="004A0D9B" w:rsidP="00B7364D">
      <w:pPr>
        <w:pStyle w:val="jparaindent"/>
      </w:pPr>
      <w:r>
        <w:t>In this section, CPC</w:t>
      </w:r>
      <w:r w:rsidR="0096734A" w:rsidRPr="0096734A">
        <w:t xml:space="preserve"> concentrations</w:t>
      </w:r>
      <w:r w:rsidR="0096734A">
        <w:t xml:space="preserve"> measured at the </w:t>
      </w:r>
      <w:r w:rsidR="006060F9">
        <w:t>Arauco Site</w:t>
      </w:r>
      <w:r w:rsidR="0096734A">
        <w:t xml:space="preserve"> are compared to concentrations measured at </w:t>
      </w:r>
      <w:r>
        <w:t>THD</w:t>
      </w:r>
      <w:r w:rsidR="007B3BF0">
        <w:t xml:space="preserve">. </w:t>
      </w:r>
      <w:r w:rsidR="0096734A">
        <w:t xml:space="preserve">The THD </w:t>
      </w:r>
      <w:r w:rsidR="00180F82">
        <w:t>dataset</w:t>
      </w:r>
      <w:r w:rsidR="0096734A">
        <w:t xml:space="preserve"> spans</w:t>
      </w:r>
      <w:r w:rsidR="00CA73D6">
        <w:t xml:space="preserve"> the years</w:t>
      </w:r>
      <w:r w:rsidR="0096734A">
        <w:t xml:space="preserve"> 2002 to 2014 and is 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Andrews, private communication</w:t>
      </w:r>
      <w:r w:rsidR="003502FC">
        <w:t xml:space="preserve"> 2016); only </w:t>
      </w:r>
      <w:r w:rsidR="005A6505">
        <w:t xml:space="preserve">December, January, and February (DJF) measurements </w:t>
      </w:r>
      <w:r w:rsidR="003502FC">
        <w:t xml:space="preserve">are compared to the Arauco measurements. </w:t>
      </w:r>
    </w:p>
    <w:p w:rsidR="007C3F8C" w:rsidRDefault="005A6505" w:rsidP="00B7364D">
      <w:pPr>
        <w:pStyle w:val="jparaindent"/>
      </w:pPr>
      <w:r>
        <w:t>When comparing averages the d</w:t>
      </w:r>
      <w:r w:rsidR="00180F82">
        <w:t>ifferent</w:t>
      </w:r>
      <w:r>
        <w:t xml:space="preserve"> number of data points </w:t>
      </w:r>
      <w:r w:rsidR="00AA2BFC">
        <w:t xml:space="preserve">from Arauco and THD </w:t>
      </w:r>
      <w:r>
        <w:t>necessitates</w:t>
      </w:r>
      <w:r w:rsidR="00933717">
        <w:t xml:space="preserve"> a </w:t>
      </w:r>
      <w:r w:rsidR="00180F82">
        <w:t xml:space="preserve">particular </w:t>
      </w:r>
      <w:r w:rsidR="00933717">
        <w:t>stat</w:t>
      </w:r>
      <w:r w:rsidR="004A0D9B">
        <w:t>istical comparison</w:t>
      </w:r>
      <w:r w:rsidR="00087B2F">
        <w:t xml:space="preserve"> methodology</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explained by Havlicek and Crain (1988; their equations 10.6 and 1</w:t>
      </w:r>
      <w:r w:rsidR="00AE59D8">
        <w:t>0.7)</w:t>
      </w:r>
      <w:r w:rsidR="007B3BF0">
        <w:t xml:space="preserve">. </w:t>
      </w:r>
      <w:r w:rsidR="00AE59D8">
        <w:t xml:space="preserve">The statistical </w:t>
      </w:r>
      <w:r w:rsidR="00AE59D8">
        <w:lastRenderedPageBreak/>
        <w:t>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53173D" w:rsidRDefault="007C3F8C" w:rsidP="005A6505">
      <w:pPr>
        <w:pStyle w:val="jparaindent"/>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r w:rsidR="00D238FF">
        <w:t>N</w:t>
      </w:r>
      <w:r w:rsidR="00D238FF">
        <w:rPr>
          <w:vertAlign w:val="subscript"/>
        </w:rPr>
        <w:t>CPC</w:t>
      </w:r>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1088 ± 818 cm</w:t>
      </w:r>
      <w:r w:rsidR="00646441">
        <w:rPr>
          <w:vertAlign w:val="superscript"/>
        </w:rPr>
        <w:t>-3</w:t>
      </w:r>
      <w:r w:rsidR="00646441">
        <w:t xml:space="preserve">. </w:t>
      </w:r>
      <w:r w:rsidR="000E3DAC" w:rsidRPr="00114278">
        <w:t xml:space="preserve">Fig. </w:t>
      </w:r>
      <w:r w:rsidR="00224BCE">
        <w:t xml:space="preserve">12 shows the </w:t>
      </w:r>
      <w:r w:rsidR="00646441">
        <w:t>N</w:t>
      </w:r>
      <w:r w:rsidR="00646441">
        <w:rPr>
          <w:vertAlign w:val="subscript"/>
        </w:rPr>
        <w:t>CPC</w:t>
      </w:r>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N</w:t>
      </w:r>
      <w:r w:rsidR="00646441">
        <w:rPr>
          <w:vertAlign w:val="subscript"/>
        </w:rPr>
        <w:t xml:space="preserve">CPC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r w:rsidR="005A6505">
        <w:t xml:space="preserve"> Second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5A6505">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666E1B">
      <w:pPr>
        <w:pStyle w:val="jparaindent"/>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(Bennartz 2007)</w:t>
      </w:r>
      <w:r w:rsidR="007B3BF0">
        <w:t xml:space="preserve">. </w:t>
      </w:r>
      <w:r>
        <w:t>Bennartz (2007; their figure 5) also evaluated droplet concentrations within subregions</w:t>
      </w:r>
      <w:r w:rsidR="007B3BF0">
        <w:t xml:space="preserve">. </w:t>
      </w:r>
      <w:r>
        <w:t>Of the five subregions investigated two were positioned at the eastern margins of the Northern and Southern Pacific basin and with poleward edges that encompass the latitudes of Arauco and THD</w:t>
      </w:r>
      <w:r w:rsidR="007B3BF0">
        <w:t xml:space="preserve">. </w:t>
      </w:r>
      <w:r>
        <w:t>For these subregions, the averaged concentrations indicated larger values in the north compared to the south. Bennartz (2007) also commented on “..a strong horizontal gradient with an increase in N toward the coast of South America..” within the Southern Pacific subregion</w:t>
      </w:r>
      <w:r w:rsidR="007B3BF0">
        <w:t xml:space="preserve">. </w:t>
      </w:r>
      <w:r>
        <w:t xml:space="preserve">Based on that comment and the omission of any comment about a coastal gradient within the Northern Pacific subregion one can conclude that the satellite/cloud and ground based/aerosol </w:t>
      </w:r>
      <w:proofErr w:type="spellStart"/>
      <w:r>
        <w:t>climatologies</w:t>
      </w:r>
      <w:proofErr w:type="spellEnd"/>
      <w:r>
        <w:t xml:space="preserve"> are in agreement, i.e., the larger aerosol concentration at Arauco, compared to THD, is consistent with the satellite retrievals </w:t>
      </w:r>
      <w:r>
        <w:lastRenderedPageBreak/>
        <w:t>showing that the concentration of cloud droplets along the Central Chilean coast are enhanced compared to those along the Northern California coast. Unfortunately, this conclusion is tentative because of the poor spatial resolution of droplet concentrations in Bennartz (2007; their figure 5). A more detailed analysis of the satellite climatology with focus on the winter season is needed to resolve this issue.</w:t>
      </w:r>
    </w:p>
    <w:p w:rsidR="000E4AB7" w:rsidRDefault="00AA17C7" w:rsidP="00666E1B">
      <w:pPr>
        <w:pStyle w:val="jhead"/>
      </w:pPr>
      <w:r w:rsidRPr="00BC2F94">
        <w:t>Processes Controlling the ASD at Arauco</w:t>
      </w:r>
    </w:p>
    <w:p w:rsidR="00593D3A" w:rsidRDefault="000D0BA4" w:rsidP="00666E1B">
      <w:pPr>
        <w:pStyle w:val="jparaindent"/>
      </w:pPr>
      <w:r w:rsidRPr="00377527">
        <w:t>In th</w:t>
      </w:r>
      <w:r>
        <w:t>is section ASD moments are analyzed with a view toward understanding processes that shaped the ASD at</w:t>
      </w:r>
      <w:r w:rsidRPr="00377527">
        <w:t xml:space="preserve"> Arauco</w:t>
      </w:r>
      <w:r w:rsidR="007B3BF0">
        <w:t xml:space="preserve">. </w:t>
      </w:r>
      <w:r>
        <w:t xml:space="preserve">Guiding this are papers by </w:t>
      </w:r>
      <w:proofErr w:type="spellStart"/>
      <w:r w:rsidRPr="00377527">
        <w:t>Hegg</w:t>
      </w:r>
      <w:proofErr w:type="spellEnd"/>
      <w:r w:rsidRPr="00377527">
        <w:t xml:space="preserve"> and Kaufman (1998; herein HK98)</w:t>
      </w:r>
      <w:r>
        <w:t xml:space="preserve"> and </w:t>
      </w:r>
      <w:r w:rsidRPr="00377527">
        <w:t>van Dingenen et al</w:t>
      </w:r>
      <w:r>
        <w:t>. (</w:t>
      </w:r>
      <w:r w:rsidRPr="00377527">
        <w:t>2000</w:t>
      </w:r>
      <w:r>
        <w:t>; herein VD00)</w:t>
      </w:r>
      <w:r w:rsidR="007B3BF0">
        <w:t xml:space="preserve">. </w:t>
      </w:r>
      <w:r>
        <w:t xml:space="preserve">These researchers analyzed correlations of </w:t>
      </w:r>
      <w:r w:rsidRPr="00427964">
        <w:rPr>
          <w:i/>
        </w:rPr>
        <w:t>N</w:t>
      </w:r>
      <w:r>
        <w:t xml:space="preserve"> and </w:t>
      </w:r>
      <w:r w:rsidRPr="00427964">
        <w:rPr>
          <w:i/>
        </w:rPr>
        <w:t>V</w:t>
      </w:r>
      <w:r>
        <w:t xml:space="preserve">, slopes of the </w:t>
      </w:r>
      <w:r w:rsidRPr="00427964">
        <w:rPr>
          <w:i/>
        </w:rPr>
        <w:t>N</w:t>
      </w:r>
      <w:r>
        <w:t xml:space="preserve"> on </w:t>
      </w:r>
      <w:r w:rsidRPr="00427964">
        <w:rPr>
          <w:i/>
        </w:rPr>
        <w:t>V</w:t>
      </w:r>
      <w:r>
        <w:t xml:space="preserve"> regressions and processes inferred to control ASDs in moderately polluted marine air. HK98 based their analysis on airborne sampling conducted over the western Atlantic in air that had advected from the United States. VD00 analyzed a dataset acquired in air that had advected to study sites on Tenerife in the Canary Islands</w:t>
      </w:r>
      <w:r w:rsidR="007B3BF0">
        <w:t xml:space="preserve">. </w:t>
      </w:r>
      <w:r>
        <w:t>Both datasets were collected during summer</w:t>
      </w:r>
      <w:r w:rsidR="005765CB">
        <w:t xml:space="preserve">. </w:t>
      </w:r>
    </w:p>
    <w:p w:rsidR="000D0BA4" w:rsidRPr="00377527" w:rsidRDefault="000D0BA4" w:rsidP="00666E1B">
      <w:pPr>
        <w:pStyle w:val="jparaindent"/>
      </w:pPr>
      <w:r w:rsidRPr="00377527">
        <w:t xml:space="preserve">HK98 used a passive cavity aerosol spectrometer probe (PCASP) to evaluate </w:t>
      </w:r>
      <w:r w:rsidRPr="00593D3A">
        <w:rPr>
          <w:i/>
        </w:rPr>
        <w:t>N</w:t>
      </w:r>
      <w:r>
        <w:t>,</w:t>
      </w:r>
      <w:r w:rsidRPr="00377527">
        <w:t xml:space="preserve"> </w:t>
      </w:r>
      <w:r w:rsidRPr="00377527">
        <w:rPr>
          <w:i/>
        </w:rPr>
        <w:t>V</w:t>
      </w:r>
      <w:r>
        <w:rPr>
          <w:i/>
        </w:rPr>
        <w:t xml:space="preserve"> </w:t>
      </w:r>
      <w:r w:rsidRPr="00427964">
        <w:t>and the N/V ratio</w:t>
      </w:r>
      <w:r>
        <w:rPr>
          <w:i/>
        </w:rPr>
        <w:t xml:space="preserve">. </w:t>
      </w:r>
      <w:r w:rsidRPr="00377527">
        <w:t xml:space="preserve">Since the UHSAS counts down to a smaller diameter (0.055 </w:t>
      </w:r>
      <w:r w:rsidRPr="00377527">
        <w:sym w:font="Symbol" w:char="F06D"/>
      </w:r>
      <w:r w:rsidRPr="00377527">
        <w:t>m</w:t>
      </w:r>
      <w:r>
        <w:t xml:space="preserve">) </w:t>
      </w:r>
      <w:r w:rsidRPr="00377527">
        <w:t xml:space="preserve">than the PCASP </w:t>
      </w:r>
      <w:r>
        <w:t>(</w:t>
      </w:r>
      <w:r w:rsidRPr="00377527">
        <w:t xml:space="preserve">0.12 </w:t>
      </w:r>
      <w:r w:rsidRPr="00377527">
        <w:sym w:font="Symbol" w:char="F06D"/>
      </w:r>
      <w:r w:rsidRPr="00377527">
        <w:t>m), it is expected that</w:t>
      </w:r>
      <w:r>
        <w:t xml:space="preserve"> the </w:t>
      </w:r>
      <w:r w:rsidRPr="00960326">
        <w:t>N/V</w:t>
      </w:r>
      <w:r w:rsidRPr="00377527">
        <w:t xml:space="preserve"> ratios analyzed </w:t>
      </w:r>
      <w:r>
        <w:t xml:space="preserve">here </w:t>
      </w:r>
      <w:r w:rsidRPr="00377527">
        <w:t>will be larger than those in HK98</w:t>
      </w:r>
      <w:r w:rsidR="007B3BF0">
        <w:t xml:space="preserve">. </w:t>
      </w:r>
      <w:r>
        <w:t>The main reason for thi</w:t>
      </w:r>
      <w:r w:rsidR="00087B2F">
        <w:t xml:space="preserve">s is that a smaller lower-limit </w:t>
      </w:r>
      <w:r>
        <w:t xml:space="preserve">diameter increases </w:t>
      </w:r>
      <w:r w:rsidRPr="00593D3A">
        <w:rPr>
          <w:i/>
        </w:rPr>
        <w:t>N</w:t>
      </w:r>
      <w:r>
        <w:t xml:space="preserve"> more than </w:t>
      </w:r>
      <w:r w:rsidRPr="00A4769A">
        <w:rPr>
          <w:i/>
        </w:rPr>
        <w:t>V</w:t>
      </w:r>
      <w:r>
        <w:t xml:space="preserve">, assuming the same ASD. This logic is supported by the studies of VD00. In HK98 the dominant aerosol microphysical processes </w:t>
      </w:r>
      <w:r w:rsidR="006D07D5">
        <w:t xml:space="preserve">were new particle formation (NPF) and </w:t>
      </w:r>
      <w:r>
        <w:t>gas-to-particle conversion (GPC)</w:t>
      </w:r>
      <w:r w:rsidR="007B3BF0">
        <w:t xml:space="preserve">. </w:t>
      </w:r>
      <w:r>
        <w:t xml:space="preserve">These produce what is commonly referred to as “secondary” particles; i.e. particles produced in-situ by NPF and whose size is increased by GPC. In HK98 and </w:t>
      </w:r>
      <w:r w:rsidR="00087B2F">
        <w:t xml:space="preserve">in </w:t>
      </w:r>
      <w:r>
        <w:t>VD00 little consideration was given to how the ASD was affected by SSA</w:t>
      </w:r>
      <w:r w:rsidR="007B3BF0">
        <w:t xml:space="preserve">. </w:t>
      </w:r>
      <w:r>
        <w:t xml:space="preserve">During winter, when </w:t>
      </w:r>
      <w:r>
        <w:lastRenderedPageBreak/>
        <w:t>photochemistry is not as active, and sea-surface wind speeds are stronger, the importance of SSA production is expected to increase r</w:t>
      </w:r>
      <w:r w:rsidR="006D07D5">
        <w:t>elative to the secondary</w:t>
      </w:r>
      <w:r>
        <w:t xml:space="preserve"> processes examined by HK98 and VD00</w:t>
      </w:r>
      <w:r w:rsidR="007B3BF0">
        <w:t xml:space="preserve">. </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Interest in the N/V ratio comes from the fact that the ratio is quasi-constant,</w:t>
      </w:r>
      <w:r w:rsidR="006D07D5">
        <w:rPr>
          <w:rFonts w:ascii="Times New Roman" w:hAnsi="Times New Roman" w:cs="Times New Roman"/>
          <w:sz w:val="24"/>
          <w:szCs w:val="24"/>
        </w:rPr>
        <w:t xml:space="preserve"> and can be </w:t>
      </w:r>
      <w:r w:rsidR="00207480">
        <w:rPr>
          <w:rFonts w:ascii="Times New Roman" w:hAnsi="Times New Roman" w:cs="Times New Roman"/>
          <w:sz w:val="24"/>
          <w:szCs w:val="24"/>
        </w:rPr>
        <w:t>prognosed</w:t>
      </w:r>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C24CCE" w:rsidRDefault="000D0BA4" w:rsidP="00E720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w:t>
      </w:r>
      <w:r w:rsidR="00E720A1">
        <w:rPr>
          <w:rFonts w:ascii="Times New Roman" w:hAnsi="Times New Roman" w:cs="Times New Roman"/>
          <w:sz w:val="24"/>
          <w:szCs w:val="24"/>
        </w:rPr>
        <w:t xml:space="preserve"> T</w:t>
      </w:r>
      <w:r w:rsidRPr="00377527">
        <w:rPr>
          <w:rFonts w:ascii="Times New Roman" w:hAnsi="Times New Roman" w:cs="Times New Roman"/>
          <w:sz w:val="24"/>
          <w:szCs w:val="24"/>
        </w:rPr>
        <w:t xml:space="preserve">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0D0BA4" w:rsidRPr="000D0BA4" w:rsidRDefault="000D0BA4" w:rsidP="00666E1B">
      <w:pPr>
        <w:pStyle w:val="jhead"/>
        <w:rPr>
          <w:sz w:val="28"/>
          <w:szCs w:val="28"/>
        </w:rPr>
      </w:pPr>
      <w:r w:rsidRPr="000D0BA4">
        <w:t>Analysis of N/V Ratios</w:t>
      </w:r>
    </w:p>
    <w:p w:rsidR="000D0BA4" w:rsidRDefault="000D0BA4" w:rsidP="00666E1B">
      <w:pPr>
        <w:pStyle w:val="jparaindent"/>
      </w:pPr>
      <w:r>
        <w:t xml:space="preserve">As in </w:t>
      </w:r>
      <w:r w:rsidRPr="00377527">
        <w:t>HK98</w:t>
      </w:r>
      <w:r>
        <w:t xml:space="preserve">, linear least-squares regression analysis with a model equation of form Y = </w:t>
      </w:r>
      <w:proofErr w:type="spellStart"/>
      <w:r>
        <w:t>a·X</w:t>
      </w:r>
      <w:proofErr w:type="spellEnd"/>
      <w:r>
        <w:t xml:space="preserve"> was </w:t>
      </w:r>
      <w:r w:rsidR="006D07D5">
        <w:t>used to derive N/V ratios</w:t>
      </w:r>
      <w:r>
        <w:t>. Moments of the ASD entered into the regressions were evaluated with the lower-limit diameter</w:t>
      </w:r>
      <w:r w:rsidR="006D07D5">
        <w:t xml:space="preserve"> set</w:t>
      </w:r>
      <w:r>
        <w:t xml:space="preserve"> at both 0.055 μm and 0.12 μm. The latter allows comparison to N/V ratios in HK98. </w:t>
      </w:r>
      <w:r w:rsidRPr="00DB7B93">
        <w:t xml:space="preserve">Table 4 </w:t>
      </w:r>
      <w:r>
        <w:t xml:space="preserve">shows the ratios and Pearson correlation coefficients </w:t>
      </w:r>
      <w:r>
        <w:lastRenderedPageBreak/>
        <w:t>(</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666E1B">
      <w:pPr>
        <w:pStyle w:val="jparaindent"/>
      </w:pPr>
      <w:r>
        <w:t>As expected from the previous discussion, the</w:t>
      </w:r>
      <w:r w:rsidR="006D07D5">
        <w:t xml:space="preserve"> mean</w:t>
      </w:r>
      <w:r>
        <w:t xml:space="preserve"> N/V ratio in the second column of </w:t>
      </w:r>
      <w:r w:rsidRPr="0053777F">
        <w:t xml:space="preserve">Table 4 </w:t>
      </w:r>
      <w:r>
        <w:t>(312 ± 251 μm</w:t>
      </w:r>
      <w:r>
        <w:rPr>
          <w:vertAlign w:val="superscript"/>
        </w:rPr>
        <w:t>-3</w:t>
      </w:r>
      <w:r>
        <w:t>; # = 22) is larger than that in HK98 (226 ± 82 μm</w:t>
      </w:r>
      <w:r>
        <w:rPr>
          <w:vertAlign w:val="superscript"/>
        </w:rPr>
        <w:t>-3</w:t>
      </w:r>
      <w:r w:rsidR="006D07D5">
        <w:t>; # = 14). T</w:t>
      </w:r>
      <w:r>
        <w:t>he</w:t>
      </w:r>
      <w:r w:rsidR="006D07D5">
        <w:t>se</w:t>
      </w:r>
      <w:r>
        <w:t xml:space="preserve"> means are different at p &lt; 0.01 (i.e., the Arauco N/V ratio is larger than HK98’s) and this in spite of the larger variance in the Arauco result. The fourth column has results for Arauco based on the larger lower-limit diameter (D &gt; 0.12 </w:t>
      </w:r>
      <w:r>
        <w:sym w:font="Symbol" w:char="F06D"/>
      </w:r>
      <w:r w:rsidR="006D07D5">
        <w:t>m)</w:t>
      </w:r>
      <w:r w:rsidR="007B3BF0">
        <w:t xml:space="preserve">. </w:t>
      </w:r>
      <w:r w:rsidR="006D07D5">
        <w:t>In that comparison</w:t>
      </w:r>
      <w:r w:rsidR="00132DB7">
        <w:t>,</w:t>
      </w:r>
      <w:r w:rsidR="006D07D5">
        <w:t xml:space="preserve"> the Arauco mean N/V ratio is smaller than</w:t>
      </w:r>
      <w:r>
        <w:t xml:space="preserve"> HK98</w:t>
      </w:r>
      <w:r w:rsidR="006D07D5">
        <w:t>’s (p&lt; 0.01). T</w:t>
      </w:r>
      <w:r w:rsidR="00A4769A">
        <w:t>his result may</w:t>
      </w:r>
      <w:r>
        <w:t xml:space="preserve"> be indicative of a different process controlling the ASD at Arauco versus that in HK98’s study. </w:t>
      </w:r>
    </w:p>
    <w:p w:rsidR="00B1292B" w:rsidRDefault="00FF1242" w:rsidP="00666E1B">
      <w:pPr>
        <w:pStyle w:val="jparaindent"/>
      </w:pPr>
      <w:r>
        <w:t>In t</w:t>
      </w:r>
      <w:r w:rsidR="000D0BA4">
        <w:t xml:space="preserve">he previous </w:t>
      </w:r>
      <w:r w:rsidR="003E2C51">
        <w:t>paragraph,</w:t>
      </w:r>
      <w:r w:rsidR="000D0BA4">
        <w:t xml:space="preserve"> it is demonstrated that the</w:t>
      </w:r>
      <w:r w:rsidR="006D07D5">
        <w:t xml:space="preserve"> mean</w:t>
      </w:r>
      <w:r w:rsidR="000D0BA4">
        <w:t xml:space="preserve"> N/V ratio at Arauco (D &gt; 0.12 </w:t>
      </w:r>
      <w:r w:rsidR="000D0BA4">
        <w:sym w:font="Symbol" w:char="F06D"/>
      </w:r>
      <w:r w:rsidR="000D0BA4">
        <w:t xml:space="preserve">m) 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The target of HK98’s investigation was air that had advected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offshore flow may be </w:t>
      </w:r>
      <w:r w:rsidR="00857411">
        <w:t xml:space="preserve">a </w:t>
      </w:r>
      <w:r w:rsidR="000D0BA4">
        <w:t>factor controlling the N/V ratios in this work versus that in HK98 and VD00. Based on aerosol and trace gas measurements</w:t>
      </w:r>
      <w:r w:rsidR="005F1FF2">
        <w:t>,</w:t>
      </w:r>
      <w:r w:rsidR="000D0BA4">
        <w:t xml:space="preserve"> HK98 concluded that their ASDs were controlled by secondary processes, i.e., NPF and GPC</w:t>
      </w:r>
      <w:r w:rsidR="00186F90">
        <w:t>,</w:t>
      </w:r>
      <w:r w:rsidR="000D0BA4">
        <w:t xml:space="preserve"> both involving continentally-derived gaseous precursors (SO</w:t>
      </w:r>
      <w:r w:rsidR="000D0BA4">
        <w:rPr>
          <w:vertAlign w:val="subscript"/>
        </w:rPr>
        <w:t>2</w:t>
      </w:r>
      <w:r w:rsidR="000D0BA4">
        <w:t xml:space="preserve"> and organics)</w:t>
      </w:r>
      <w:r w:rsidR="007B3BF0">
        <w:t xml:space="preserve">. </w:t>
      </w:r>
      <w:r w:rsidR="000D0BA4">
        <w:t>These were also active over the eastern Atlantic during collection of the summertime dataset analyzed by VD00</w:t>
      </w:r>
      <w:r w:rsidR="007B3BF0">
        <w:t xml:space="preserve">. </w:t>
      </w:r>
      <w:r w:rsidR="000D0BA4">
        <w:t xml:space="preserve">Another difference is that the mixing of free tropospheric and marine boundary layer aerosols thought important for ASDs at Tenerife </w:t>
      </w:r>
      <w:r w:rsidR="000D0BA4">
        <w:lastRenderedPageBreak/>
        <w:t>(VD00) is unlikely to be operating at Arauco because of differences in meteorological and geographic factors. Finally, at Arauco, during winter, oceanic production of SSA</w:t>
      </w:r>
      <w:r w:rsidR="00186F90">
        <w:t xml:space="preserve"> is postulated to be dominant</w:t>
      </w:r>
      <w:r w:rsidR="007B3BF0">
        <w:t xml:space="preserve">. </w:t>
      </w:r>
      <w:r w:rsidR="000D0BA4">
        <w:t xml:space="preserve">This is investigated in the following two sections. </w:t>
      </w:r>
    </w:p>
    <w:p w:rsidR="000D0BA4" w:rsidRPr="000D0BA4" w:rsidRDefault="00262EE8" w:rsidP="00666E1B">
      <w:pPr>
        <w:pStyle w:val="jhead"/>
      </w:pPr>
      <w:r>
        <w:t>Continental Contamination</w:t>
      </w:r>
    </w:p>
    <w:p w:rsidR="000D0BA4" w:rsidRDefault="000D0BA4" w:rsidP="00666E1B">
      <w:pPr>
        <w:pStyle w:val="jparaindent"/>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t xml:space="preserve"> </w:t>
      </w:r>
      <w:r>
        <w:t>μm</w:t>
      </w:r>
      <w:r>
        <w:rPr>
          <w:vertAlign w:val="superscript"/>
        </w:rPr>
        <w:t>-3</w:t>
      </w:r>
      <w:r>
        <w:t xml:space="preserve">; fourth column of Table 4) is small in comparison to the HK98 average </w:t>
      </w:r>
      <w:r w:rsidR="00186F90">
        <w:t>(226</w:t>
      </w:r>
      <w:r w:rsidR="00436D7C" w:rsidRPr="00436D7C">
        <w:t xml:space="preserve"> </w:t>
      </w:r>
      <w:r w:rsidR="00436D7C">
        <w:t>μm</w:t>
      </w:r>
      <w:r w:rsidR="00436D7C">
        <w:rPr>
          <w:vertAlign w:val="superscript"/>
        </w:rPr>
        <w:t>-3</w:t>
      </w:r>
      <w:r>
        <w:t>) and because of its intermediate N/V correlation coefficient (</w:t>
      </w:r>
      <w:r w:rsidRPr="00086A26">
        <w:rPr>
          <w:i/>
        </w:rPr>
        <w:t>r</w:t>
      </w:r>
      <w:r>
        <w:t xml:space="preserve"> = 0.81; fifth column of Table 4). In terms of meteorology, winds were light at Arauco and </w:t>
      </w:r>
      <w:proofErr w:type="spellStart"/>
      <w:r>
        <w:t>Curanilahue</w:t>
      </w:r>
      <w:proofErr w:type="spellEnd"/>
      <w:r>
        <w:t xml:space="preserve"> (&lt; 3 m s</w:t>
      </w:r>
      <w:r>
        <w:rPr>
          <w:vertAlign w:val="superscript"/>
        </w:rPr>
        <w:t>-1</w:t>
      </w:r>
      <w:r>
        <w:t xml:space="preserve">) during this two-hour interval, and the wind direction at </w:t>
      </w:r>
      <w:proofErr w:type="spellStart"/>
      <w:r>
        <w:t>Curanilahue</w:t>
      </w:r>
      <w:proofErr w:type="spellEnd"/>
      <w:r>
        <w:t xml:space="preserve"> was northwesterly. </w:t>
      </w:r>
      <w:r w:rsidR="00CE6746">
        <w:t xml:space="preserve">No precipitation was observed at either Arauco or </w:t>
      </w:r>
      <w:proofErr w:type="spellStart"/>
      <w:r w:rsidR="00E855FE">
        <w:t>Curanilahue</w:t>
      </w:r>
      <w:proofErr w:type="spellEnd"/>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666E1B">
      <w:pPr>
        <w:pStyle w:val="jparaindent"/>
      </w:pPr>
      <w:r>
        <w:t>In term</w:t>
      </w:r>
      <w:r w:rsidR="00BB2CDB">
        <w:t>s of UHSAS measurements (Fig. 18</w:t>
      </w:r>
      <w:r>
        <w:t>b</w:t>
      </w:r>
      <w:r w:rsidRPr="001E5864">
        <w:t xml:space="preserve"> –</w:t>
      </w:r>
      <w:r>
        <w:t xml:space="preserve"> d), an obvious feature is the variability in the sequences </w:t>
      </w:r>
      <w:r w:rsidRPr="00FC0A3A">
        <w:t>of</w:t>
      </w:r>
      <w:r w:rsidR="00014612" w:rsidRPr="00FC0A3A">
        <w:t xml:space="preserve"> </w:t>
      </w:r>
      <w:r w:rsidR="00903C2F" w:rsidRPr="00FC0A3A">
        <w:t>N</w:t>
      </w:r>
      <w:r w:rsidR="00903C2F">
        <w:rPr>
          <w:vertAlign w:val="subscript"/>
        </w:rPr>
        <w:t>UHSAS</w:t>
      </w:r>
      <w:r w:rsidR="00014612">
        <w:t xml:space="preserve"> </w:t>
      </w:r>
      <w:r w:rsidR="00BB2CDB">
        <w:t>(Fig. 18</w:t>
      </w:r>
      <w:r>
        <w:t xml:space="preserve">b), </w:t>
      </w:r>
      <w:r w:rsidRPr="00427964">
        <w:rPr>
          <w:i/>
        </w:rPr>
        <w:t>V</w:t>
      </w:r>
      <w:r w:rsidR="00BB2CDB">
        <w:t xml:space="preserve"> (Fig. 18</w:t>
      </w:r>
      <w:r>
        <w:t xml:space="preserve">c) and </w:t>
      </w:r>
      <w:r w:rsidRPr="00427964">
        <w:rPr>
          <w:i/>
        </w:rPr>
        <w:t>S</w:t>
      </w:r>
      <w:r w:rsidR="00BB2CDB">
        <w:t xml:space="preserve"> (Fig. 18</w:t>
      </w:r>
      <w:r>
        <w:t>d)</w:t>
      </w:r>
      <w:r w:rsidR="007B3BF0">
        <w:t xml:space="preserve">. </w:t>
      </w:r>
      <w:r>
        <w:t>Variation is most evident in the 80 min centered on the trajectory arrival</w:t>
      </w:r>
      <w:r w:rsidR="007B3BF0">
        <w:t xml:space="preserve">. </w:t>
      </w:r>
      <w:r>
        <w:t>This interval is punctuated by an aerosol enhancement (23:</w:t>
      </w:r>
      <w:r w:rsidR="00132DB7">
        <w:t>25</w:t>
      </w:r>
      <w:r>
        <w:t xml:space="preserve"> to 00:</w:t>
      </w:r>
      <w:r w:rsidR="00132DB7">
        <w:t>20</w:t>
      </w:r>
      <w:r>
        <w:t xml:space="preserve"> UTC) and an aerosol diminishment (00:20 to 00:33 UTC)</w:t>
      </w:r>
      <w:r w:rsidR="007B3BF0">
        <w:t xml:space="preserve">. </w:t>
      </w:r>
      <w:r>
        <w:t xml:space="preserve">Within these periods the N/V ratio varied from </w:t>
      </w:r>
      <w:r w:rsidR="00993C29">
        <w:t>50</w:t>
      </w:r>
      <w:r w:rsidRPr="005A4E76">
        <w:t xml:space="preserve"> μm</w:t>
      </w:r>
      <w:r w:rsidRPr="005A4E76">
        <w:rPr>
          <w:vertAlign w:val="superscript"/>
        </w:rPr>
        <w:t xml:space="preserve">-3 </w:t>
      </w:r>
      <w:r w:rsidR="00993C29">
        <w:t>(enhancement) to 764</w:t>
      </w:r>
      <w:r w:rsidRPr="005A4E76">
        <w:t xml:space="preserve"> μm</w:t>
      </w:r>
      <w:r w:rsidRPr="005A4E76">
        <w:rPr>
          <w:vertAlign w:val="superscript"/>
        </w:rPr>
        <w:t>-3</w:t>
      </w:r>
      <w:r w:rsidRPr="005A4E76">
        <w:t xml:space="preserve"> (diminishment)</w:t>
      </w:r>
      <w:r w:rsidR="007B3BF0">
        <w:t xml:space="preserve">. </w:t>
      </w:r>
      <w:r>
        <w:t>Can winds over the ocean drive this much aerosol variation, or is a continental source needed to explain the variability?  This was add</w:t>
      </w:r>
      <w:r w:rsidR="00186F90">
        <w:t>ressed by calculating</w:t>
      </w:r>
      <w:r w:rsidR="003A436B">
        <w:t xml:space="preserve"> aerosol surface </w:t>
      </w:r>
      <w:r w:rsidR="003A436B" w:rsidRPr="003A436B">
        <w:t>area (</w:t>
      </w:r>
      <w:r w:rsidR="003A436B" w:rsidRPr="003A436B">
        <w:rPr>
          <w:i/>
        </w:rPr>
        <w:t>S</w:t>
      </w:r>
      <w:r w:rsidR="003A436B" w:rsidRPr="003A436B">
        <w:t>; Eqn. 2) for winds that bracket the HYSPLIT-derived value (8.3 m s</w:t>
      </w:r>
      <w:r w:rsidR="003A436B" w:rsidRPr="003A436B">
        <w:rPr>
          <w:vertAlign w:val="superscript"/>
        </w:rPr>
        <w:t>-1</w:t>
      </w:r>
      <w:r w:rsidR="003A436B" w:rsidRPr="003A436B">
        <w:t xml:space="preserve">). The basis for the </w:t>
      </w:r>
      <w:r w:rsidR="003A436B" w:rsidRPr="003A436B">
        <w:rPr>
          <w:i/>
        </w:rPr>
        <w:t>S</w:t>
      </w:r>
      <w:r w:rsidR="003A436B" w:rsidRPr="003A436B">
        <w:t xml:space="preserve"> calculation is the </w:t>
      </w:r>
      <w:r w:rsidR="003A436B" w:rsidRPr="003A436B">
        <w:rPr>
          <w:i/>
        </w:rPr>
        <w:t>S</w:t>
      </w:r>
      <w:r w:rsidR="003A436B" w:rsidRPr="003A436B">
        <w:t xml:space="preserve">-on-U parameterization described in LS04 (their Fig. 22). The calculation indicates that </w:t>
      </w:r>
      <w:r w:rsidR="003A436B" w:rsidRPr="003A436B">
        <w:rPr>
          <w:i/>
        </w:rPr>
        <w:t>S</w:t>
      </w:r>
      <w:r w:rsidR="003A436B" w:rsidRPr="003A436B">
        <w:t xml:space="preserve"> can range from 6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6.3 m s</w:t>
      </w:r>
      <w:r w:rsidR="003A436B" w:rsidRPr="003A436B">
        <w:rPr>
          <w:vertAlign w:val="superscript"/>
        </w:rPr>
        <w:t>-1</w:t>
      </w:r>
      <w:r w:rsidR="003A436B" w:rsidRPr="003A436B">
        <w:t xml:space="preserve">) and 15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10.3 m s</w:t>
      </w:r>
      <w:r w:rsidR="003A436B" w:rsidRPr="003A436B">
        <w:rPr>
          <w:vertAlign w:val="superscript"/>
        </w:rPr>
        <w:t>-1</w:t>
      </w:r>
      <w:r w:rsidR="003A436B" w:rsidRPr="003A436B">
        <w:t>).</w:t>
      </w:r>
      <w:r w:rsidR="003A436B">
        <w:t xml:space="preserve"> </w:t>
      </w:r>
      <w:r>
        <w:t xml:space="preserve">Since the upper-limit of </w:t>
      </w:r>
      <w:r>
        <w:lastRenderedPageBreak/>
        <w:t xml:space="preserve">the predicted variation is small compared to the </w:t>
      </w:r>
      <w:r w:rsidRPr="00427964">
        <w:rPr>
          <w:i/>
        </w:rPr>
        <w:t>S</w:t>
      </w:r>
      <w:r>
        <w:t xml:space="preserve"> during the enhancement (~ 200 </w:t>
      </w:r>
      <w:r>
        <w:sym w:font="Symbol" w:char="F06D"/>
      </w:r>
      <w:r>
        <w:t>m</w:t>
      </w:r>
      <w:r>
        <w:rPr>
          <w:vertAlign w:val="superscript"/>
        </w:rPr>
        <w:t>2</w:t>
      </w:r>
      <w:r>
        <w:t xml:space="preserve"> cm</w:t>
      </w:r>
      <w:r>
        <w:rPr>
          <w:vertAlign w:val="superscript"/>
        </w:rPr>
        <w:t>-3</w:t>
      </w:r>
      <w:r>
        <w:t>; Fig. 1</w:t>
      </w:r>
      <w:r w:rsidR="00BB2CDB">
        <w:t>8</w:t>
      </w:r>
      <w:r>
        <w:t>d), and because the wind speed variation applied in the calculation is an order of magnitude larger than the variation in the HYSPLIT-derived wind speed (± 0.2 m s</w:t>
      </w:r>
      <w:r>
        <w:rPr>
          <w:vertAlign w:val="superscript"/>
        </w:rPr>
        <w:t>-1</w:t>
      </w:r>
      <w:r>
        <w:t xml:space="preserve">), it is concluded that the </w:t>
      </w:r>
      <w:r w:rsidR="00BB3C31">
        <w:t xml:space="preserve">aerosol </w:t>
      </w:r>
      <w:r>
        <w:t xml:space="preserve">enhancement is </w:t>
      </w:r>
      <w:r w:rsidR="00993C29">
        <w:t xml:space="preserve">not due </w:t>
      </w:r>
      <w:r w:rsidR="00BB3C31">
        <w:t>to a</w:t>
      </w:r>
      <w:r w:rsidR="00BF40D7">
        <w:t xml:space="preserve"> wind</w:t>
      </w:r>
      <w:r w:rsidR="00BB3C31">
        <w:t xml:space="preserve"> speed increase</w:t>
      </w:r>
      <w:r w:rsidR="00BF40D7">
        <w:t xml:space="preserve"> over the ocean</w:t>
      </w:r>
      <w:r w:rsidR="007B3BF0">
        <w:t xml:space="preserve">. </w:t>
      </w:r>
      <w:r w:rsidR="00BF40D7">
        <w:t xml:space="preserve">Rather, </w:t>
      </w:r>
      <w:r w:rsidR="00262EE8">
        <w:t xml:space="preserve">it is conjectured that </w:t>
      </w:r>
      <w:r w:rsidR="00BF40D7">
        <w:t xml:space="preserve">the enhancement is </w:t>
      </w:r>
      <w:r>
        <w:t xml:space="preserve">due to a continental source. </w:t>
      </w:r>
      <w:r w:rsidR="00BB3C31">
        <w:t xml:space="preserve">This conjecture is consistent with the relatively low wind speeds documented at Arauco and </w:t>
      </w:r>
      <w:proofErr w:type="spellStart"/>
      <w:r w:rsidR="00BB3C31">
        <w:t>Curanilahue</w:t>
      </w:r>
      <w:proofErr w:type="spellEnd"/>
      <w:r w:rsidR="00BB3C31">
        <w:t xml:space="preserve">, likely favoring intermingling of marine and continental air, but not complete </w:t>
      </w:r>
      <w:proofErr w:type="spellStart"/>
      <w:r w:rsidR="00BB3C31">
        <w:t>homogenation</w:t>
      </w:r>
      <w:proofErr w:type="spellEnd"/>
      <w:r w:rsidR="00BB3C31">
        <w:t xml:space="preserve"> of these air masses. Another consistency is the northwesterly flow direction observed at </w:t>
      </w:r>
      <w:proofErr w:type="spellStart"/>
      <w:r w:rsidR="00BB3C31">
        <w:t>Curanilahue</w:t>
      </w:r>
      <w:proofErr w:type="spellEnd"/>
      <w:r w:rsidR="00BB3C31">
        <w:t xml:space="preserve"> and the fact that this is coterminous with the northern limit of the marine sector (Fig. 8). </w:t>
      </w:r>
      <w:r w:rsidR="005221DB">
        <w:t xml:space="preserve">These results lead us </w:t>
      </w:r>
      <w:r>
        <w:t>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sym w:font="Symbol" w:char="F06D"/>
      </w:r>
      <w:r>
        <w:t>m</w:t>
      </w:r>
      <w:r>
        <w:rPr>
          <w:vertAlign w:val="superscript"/>
        </w:rPr>
        <w:t>2</w:t>
      </w:r>
      <w:r>
        <w:t xml:space="preserve"> cm</w:t>
      </w:r>
      <w:r>
        <w:rPr>
          <w:vertAlign w:val="superscript"/>
        </w:rPr>
        <w:t>-3</w:t>
      </w:r>
      <w:r>
        <w:t>, was observed during four of the 17 sea</w:t>
      </w:r>
      <w:r w:rsidRPr="00993C29">
        <w:t>-surface trajectories. For each of these</w:t>
      </w:r>
      <w:r w:rsidR="00616F07" w:rsidRPr="00993C29">
        <w:t>,</w:t>
      </w:r>
      <w:r w:rsidRPr="00993C29">
        <w:t xml:space="preserve"> intervals </w:t>
      </w:r>
      <w:r w:rsidR="00262EE8">
        <w:t xml:space="preserve">with </w:t>
      </w:r>
      <w:r w:rsidR="00B24CA6" w:rsidRPr="00FF1242">
        <w:rPr>
          <w:i/>
        </w:rPr>
        <w:t>S</w:t>
      </w:r>
      <w:r w:rsidR="00B24CA6">
        <w:t xml:space="preserve"> substantially smaller than</w:t>
      </w:r>
      <w:r w:rsidR="00FF1242">
        <w:t xml:space="preserve"> </w:t>
      </w:r>
      <w:r w:rsidR="00262EE8">
        <w:t xml:space="preserve">100 </w:t>
      </w:r>
      <w:r w:rsidR="00262EE8">
        <w:sym w:font="Symbol" w:char="F06D"/>
      </w:r>
      <w:r w:rsidR="00262EE8">
        <w:t>m</w:t>
      </w:r>
      <w:r w:rsidR="00262EE8">
        <w:rPr>
          <w:vertAlign w:val="superscript"/>
        </w:rPr>
        <w:t>2</w:t>
      </w:r>
      <w:r w:rsidR="00262EE8">
        <w:t xml:space="preserve"> cm</w:t>
      </w:r>
      <w:r w:rsidR="00262EE8">
        <w:rPr>
          <w:vertAlign w:val="superscript"/>
        </w:rPr>
        <w:t>-3</w:t>
      </w:r>
      <w:r w:rsidR="00262EE8">
        <w:t xml:space="preserve"> </w:t>
      </w:r>
      <w:r w:rsidR="001B355A">
        <w:t xml:space="preserve">were </w:t>
      </w:r>
      <w:r w:rsidR="00262EE8">
        <w:t>selected</w:t>
      </w:r>
      <w:r w:rsidR="007B3BF0">
        <w:t xml:space="preserve">. </w:t>
      </w:r>
      <w:r w:rsidR="00262EE8" w:rsidRPr="00993C29">
        <w:t xml:space="preserve">These </w:t>
      </w:r>
      <w:r w:rsidR="00262EE8">
        <w:t>subintervals</w:t>
      </w:r>
      <w:r w:rsidR="001B355A">
        <w:t>,</w:t>
      </w:r>
      <w:r w:rsidR="00262EE8">
        <w:t xml:space="preserve"> and their N/V ratios</w:t>
      </w:r>
      <w:r w:rsidR="001B355A">
        <w:t>,</w:t>
      </w:r>
      <w:r w:rsidR="00262EE8">
        <w:t xml:space="preserve"> are presented in </w:t>
      </w:r>
      <w:r w:rsidR="00262EE8" w:rsidRPr="00175343">
        <w:t>Table 5.</w:t>
      </w:r>
      <w:r w:rsidR="00262EE8" w:rsidRPr="00993C29" w:rsidDel="00262EE8">
        <w:t xml:space="preserve"> </w:t>
      </w:r>
    </w:p>
    <w:p w:rsidR="000D0BA4" w:rsidRPr="000D0BA4" w:rsidRDefault="000D0BA4" w:rsidP="00666E1B">
      <w:pPr>
        <w:pStyle w:val="jhead"/>
        <w:rPr>
          <w:rFonts w:cs="Times New Roman"/>
          <w:szCs w:val="24"/>
        </w:rPr>
      </w:pPr>
      <w:r>
        <w:t>Small Particle Fraction</w:t>
      </w:r>
    </w:p>
    <w:p w:rsidR="00ED07A3" w:rsidRDefault="002A5241" w:rsidP="00666E1B">
      <w:pPr>
        <w:pStyle w:val="jparaindent"/>
      </w:pPr>
      <w:r>
        <w:t>As discussed previously, the small p</w:t>
      </w:r>
      <w:r w:rsidR="0031737B">
        <w:t>a</w:t>
      </w:r>
      <w:r>
        <w:t>rticle fraction (</w:t>
      </w:r>
      <w:r>
        <w:rPr>
          <w:i/>
        </w:rPr>
        <w:t>F</w:t>
      </w:r>
      <w:r>
        <w:t xml:space="preserve">, eq. 6) represents the fraction of particles smaller than 0.055 μm.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666E1B">
      <w:pPr>
        <w:pStyle w:val="jparaindent"/>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i/>
        </w:rPr>
        <w:t>F</w:t>
      </w:r>
      <w:r w:rsidR="00E63479">
        <w:rPr>
          <w:i/>
        </w:rPr>
        <w:t xml:space="preserve"> </w:t>
      </w:r>
      <w:r w:rsidR="00E63479">
        <w:t>= slope*</w:t>
      </w:r>
      <w:r w:rsidR="00E63479">
        <w:rPr>
          <w:i/>
        </w:rPr>
        <w:t>S</w:t>
      </w:r>
      <w:r w:rsidR="00E63479">
        <w:t xml:space="preserve"> + Y-</w:t>
      </w:r>
      <w:r w:rsidR="00E63479" w:rsidRPr="003A436B">
        <w:t>Intercept</w:t>
      </w:r>
      <w:r w:rsidR="003A436B" w:rsidRPr="003A436B">
        <w:t>. Table 7 shows that the intercepts vary between 0.54 and 0.95 and the slopes vary between -0.0006 and -0.0129 μm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w:t>
      </w:r>
      <w:r w:rsidR="00E63479" w:rsidRPr="003A436B">
        <w:t>Clearly</w:t>
      </w:r>
      <w:r w:rsidR="00E63479">
        <w:t xml:space="preserve">, the relative variation of the slopes is </w:t>
      </w:r>
      <w:r w:rsidR="00E63479">
        <w:lastRenderedPageBreak/>
        <w:t>larger than the relative variation of the intercepts</w:t>
      </w:r>
      <w:r w:rsidR="007B3BF0">
        <w:t xml:space="preserve">. </w:t>
      </w:r>
      <w:r w:rsidR="00E63479">
        <w:t xml:space="preserve">The last </w:t>
      </w:r>
      <w:r w:rsidR="00563875">
        <w:t xml:space="preserve">fifth and sixth </w:t>
      </w:r>
      <w:r w:rsidR="00E63479">
        <w:t>columns have the 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(131 ± 93</w:t>
      </w:r>
      <w:r w:rsidR="00337E51" w:rsidRPr="00337E51">
        <w:t xml:space="preserve"> </w:t>
      </w:r>
      <w:r w:rsidR="00337E51">
        <w:t>μm</w:t>
      </w:r>
      <w:r w:rsidR="00337E51">
        <w:rPr>
          <w:vertAlign w:val="superscript"/>
        </w:rPr>
        <w:t>2</w:t>
      </w:r>
      <w:r w:rsidR="00337E51">
        <w:t xml:space="preserve"> cm</w:t>
      </w:r>
      <w:r w:rsidR="00337E51">
        <w:rPr>
          <w:vertAlign w:val="superscript"/>
        </w:rPr>
        <w:t>-3</w:t>
      </w:r>
      <w:r w:rsidR="00337E51">
        <w:t>)</w:t>
      </w:r>
      <w:r w:rsidR="00337E51">
        <w:rPr>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BF0344" w:rsidRPr="003216D7" w:rsidRDefault="00BF0344" w:rsidP="00666E1B">
      <w:pPr>
        <w:pStyle w:val="jhead"/>
      </w:pPr>
      <w:r>
        <w:t xml:space="preserve">Representation of the ASDs using Lognormal Functions </w:t>
      </w:r>
    </w:p>
    <w:p w:rsidR="00B1292B" w:rsidRDefault="00965062" w:rsidP="00666E1B">
      <w:pPr>
        <w:pStyle w:val="jparaindent"/>
      </w:pPr>
      <w:r>
        <w:t>The averaged ASDs are made available here so that future investigators can apply them in studies of the Southeastern Pacific r</w:t>
      </w:r>
      <w:r w:rsidR="005F3CD8">
        <w:t>egion either in modeling</w:t>
      </w:r>
      <w:r>
        <w:t xml:space="preserve"> (</w:t>
      </w:r>
      <w:proofErr w:type="spellStart"/>
      <w:r>
        <w:t>Reddington</w:t>
      </w:r>
      <w:proofErr w:type="spellEnd"/>
      <w:r>
        <w:t xml:space="preserve"> 2016) or in comparisons with aerosol measurements made in the Southern Pacific region during summer (e.g., Wood et al. 2011). </w:t>
      </w:r>
      <w:r w:rsidR="001655C1">
        <w:t>A</w:t>
      </w:r>
      <w:r w:rsidR="00BF0344">
        <w:t>verage</w:t>
      </w:r>
      <w:r w:rsidR="001655C1">
        <w:t>d</w:t>
      </w:r>
      <w:r w:rsidR="00BF0344">
        <w:t xml:space="preserve"> ASDs for all 22 marine trajectories </w:t>
      </w:r>
      <w:r w:rsidR="005F3CD8">
        <w:t>are presented here.</w:t>
      </w:r>
      <w:r w:rsidR="00BF0344">
        <w:t xml:space="preserve"> Despite </w:t>
      </w:r>
      <w:r w:rsidR="005F3CD8">
        <w:t>the trajectories’ marine origins, variability i</w:t>
      </w:r>
      <w:r w:rsidR="00BF0344">
        <w:t xml:space="preserve">s </w:t>
      </w:r>
      <w:r w:rsidR="005F3CD8">
        <w:t>evident</w:t>
      </w:r>
      <w:r w:rsidR="00BF0344">
        <w:t xml:space="preserve"> in the avera</w:t>
      </w:r>
      <w:r w:rsidR="005F3CD8">
        <w:t>ge ASDs</w:t>
      </w:r>
      <w:r w:rsidR="007B3BF0">
        <w:t xml:space="preserve">. </w:t>
      </w:r>
      <w:r w:rsidR="005F3CD8">
        <w:t xml:space="preserve">This variability is not </w:t>
      </w:r>
      <w:r w:rsidR="00BF0344">
        <w:t xml:space="preserve">surprising given the variability </w:t>
      </w:r>
      <w:r w:rsidR="001655C1">
        <w:t>evident</w:t>
      </w:r>
      <w:r w:rsidR="00D11435">
        <w:t xml:space="preserve"> in</w:t>
      </w:r>
      <w:r w:rsidR="006F0F59">
        <w:t xml:space="preserve"> </w:t>
      </w:r>
      <w:r w:rsidR="001655C1">
        <w:t>the</w:t>
      </w:r>
      <w:r w:rsidR="00D11435">
        <w:t xml:space="preserve"> two-hour interval shown in Fig. 19</w:t>
      </w:r>
      <w:r w:rsidR="007B3BF0">
        <w:t xml:space="preserve">. </w:t>
      </w:r>
    </w:p>
    <w:p w:rsidR="00C66F34" w:rsidRDefault="00E10C21" w:rsidP="00666E1B">
      <w:pPr>
        <w:pStyle w:val="jparaindent"/>
        <w:rPr>
          <w:rFonts w:eastAsiaTheme="minorEastAsia"/>
        </w:rPr>
      </w:pPr>
      <w:r>
        <w:t>E</w:t>
      </w:r>
      <w:r w:rsidR="00BF0344">
        <w:t xml:space="preserve">qn. </w:t>
      </w:r>
      <w:r w:rsidR="00BF0344" w:rsidRPr="00E049E1">
        <w:t>7.</w:t>
      </w:r>
      <w:r w:rsidR="00A372ED">
        <w:t>58</w:t>
      </w:r>
      <w:r w:rsidR="00BF0344" w:rsidRPr="00E049E1">
        <w:t xml:space="preserve"> from Seinfeld and Pandis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μm (±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μm (±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w:t>
      </w:r>
      <w:r w:rsidR="00A372ED">
        <w:rPr>
          <w:rFonts w:eastAsiaTheme="minorEastAsia"/>
        </w:rPr>
        <w:lastRenderedPageBreak/>
        <w:t xml:space="preserve">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rsidP="00666E1B">
      <w:pPr>
        <w:pStyle w:val="jparaindent"/>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proofErr w:type="spellStart"/>
      <w:r w:rsidR="00B82396" w:rsidRPr="00B82396">
        <w:rPr>
          <w:rFonts w:eastAsiaTheme="minorEastAsia"/>
        </w:rPr>
        <w:t>f</w:t>
      </w:r>
      <w:r w:rsidR="00B82396">
        <w:rPr>
          <w:rFonts w:eastAsiaTheme="minorEastAsia"/>
          <w:vertAlign w:val="subscript"/>
        </w:rPr>
        <w:t>n</w:t>
      </w:r>
      <w:proofErr w:type="spellEnd"/>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proofErr w:type="spellStart"/>
      <w:r>
        <w:rPr>
          <w:rFonts w:eastAsiaTheme="minorEastAsia"/>
        </w:rPr>
        <w:t>f</w:t>
      </w:r>
      <w:r>
        <w:rPr>
          <w:rFonts w:eastAsiaTheme="minorEastAsia"/>
          <w:vertAlign w:val="subscript"/>
        </w:rPr>
        <w:t>n</w:t>
      </w:r>
      <w:proofErr w:type="spellEnd"/>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r w:rsidR="008B731F">
        <w:rPr>
          <w:rFonts w:eastAsiaTheme="minorEastAsia"/>
        </w:rPr>
        <w:t>N</w:t>
      </w:r>
      <w:r w:rsidR="008B731F">
        <w:rPr>
          <w:rFonts w:eastAsiaTheme="minorEastAsia"/>
          <w:vertAlign w:val="subscript"/>
        </w:rPr>
        <w:t>UHSAS</w:t>
      </w:r>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rsidP="00666E1B">
      <w:pPr>
        <w:pStyle w:val="jparaindent"/>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w:t>
      </w:r>
      <w:r w:rsidR="007F542D">
        <w:rPr>
          <w:rFonts w:eastAsiaTheme="minorEastAsia"/>
        </w:rPr>
        <w:t>UTC, 8 June 6 UTC, 9 June 6 UTC</w:t>
      </w:r>
      <w:r w:rsidR="006F65B0">
        <w:rPr>
          <w:rFonts w:eastAsiaTheme="minorEastAsia"/>
        </w:rPr>
        <w:t xml:space="preserve">)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666E1B">
      <w:pPr>
        <w:pStyle w:val="jparaindent"/>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µm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exhibited a mode at ~ 0.5 μm</w:t>
      </w:r>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B1292B" w:rsidRPr="00716F01" w:rsidRDefault="00E855FE" w:rsidP="00666E1B">
      <w:pPr>
        <w:pStyle w:val="jhead"/>
      </w:pPr>
      <w:r w:rsidRPr="001B355A">
        <w:t>Correlation</w:t>
      </w:r>
      <w:r w:rsidR="00BF2236" w:rsidRPr="00716F01">
        <w:t xml:space="preserve"> of N</w:t>
      </w:r>
      <w:r w:rsidR="00BF2236" w:rsidRPr="00716F01">
        <w:rPr>
          <w:vertAlign w:val="subscript"/>
        </w:rPr>
        <w:t>D &gt;0.5</w:t>
      </w:r>
      <w:r w:rsidR="00BF2236" w:rsidRPr="00716F01">
        <w:t xml:space="preserve"> and Sea-surface Wind Speed</w:t>
      </w:r>
    </w:p>
    <w:p w:rsidR="000836B9" w:rsidRPr="000836B9" w:rsidRDefault="0077549C" w:rsidP="00666E1B">
      <w:pPr>
        <w:pStyle w:val="jparaindent"/>
      </w:pPr>
      <w:r>
        <w:t xml:space="preserve">As discussed in section </w:t>
      </w:r>
      <w:r w:rsidR="00435DD1">
        <w:t>5.3,</w:t>
      </w:r>
      <w:r>
        <w:t xml:space="preserve"> N</w:t>
      </w:r>
      <w:r w:rsidR="000836B9">
        <w:rPr>
          <w:vertAlign w:val="subscript"/>
        </w:rPr>
        <w:t>D</w:t>
      </w:r>
      <w:r>
        <w:rPr>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t>Even though N</w:t>
      </w:r>
      <w:r w:rsidR="00BB5DC5">
        <w:rPr>
          <w:vertAlign w:val="subscript"/>
        </w:rPr>
        <w:t>D&gt;0.5</w:t>
      </w:r>
      <w:r w:rsidR="00BB5DC5">
        <w:t xml:space="preserve"> is a small fraction of the UHSAS-measured concentrat</w:t>
      </w:r>
      <w:r w:rsidR="001C4286">
        <w:t xml:space="preserve">ion (Fig. 21), these particles </w:t>
      </w:r>
      <w:r w:rsidR="00BB5DC5">
        <w:t xml:space="preserve">disproportionately influence rain development within shallow cloud systems (Feingold et al., 1999). </w:t>
      </w:r>
      <w:r w:rsidR="000836B9">
        <w:t xml:space="preserve">During periods of onshore flow it is expected that particles larger than 0.5 </w:t>
      </w:r>
      <w:r w:rsidR="000836B9">
        <w:lastRenderedPageBreak/>
        <w:sym w:font="Symbol" w:char="F06D"/>
      </w:r>
      <w:r w:rsidR="00041F34">
        <w:t>m originate</w:t>
      </w:r>
      <w:r w:rsidR="000836B9">
        <w:t xml:space="preserve"> from SSA production (</w:t>
      </w:r>
      <w:r w:rsidR="00383140">
        <w:t xml:space="preserve">Clarke et al. </w:t>
      </w:r>
      <w:r w:rsidR="000836B9">
        <w:t xml:space="preserve">2003). This expectation is explored by analyzing the correlation between </w:t>
      </w:r>
      <w:r w:rsidR="001C4286">
        <w:t>N</w:t>
      </w:r>
      <w:r w:rsidR="001C4286">
        <w:rPr>
          <w:vertAlign w:val="subscript"/>
        </w:rPr>
        <w:t xml:space="preserve">D&gt;0.5 </w:t>
      </w:r>
      <w:r w:rsidR="001C4286">
        <w:t>and sea-surface wind speed</w:t>
      </w:r>
      <w:r w:rsidR="000836B9">
        <w:t>.</w:t>
      </w:r>
    </w:p>
    <w:p w:rsidR="005E138F" w:rsidRPr="005E0B16" w:rsidRDefault="00E855FE" w:rsidP="00666E1B">
      <w:pPr>
        <w:pStyle w:val="jparaindent"/>
      </w:pPr>
      <w:r>
        <w:t>N</w:t>
      </w:r>
      <w:r>
        <w:rPr>
          <w:vertAlign w:val="subscript"/>
        </w:rPr>
        <w:t>D&gt;0.5</w:t>
      </w:r>
      <w:r>
        <w:t>,</w:t>
      </w:r>
      <w:r>
        <w:rPr>
          <w:vertAlign w:val="subscript"/>
        </w:rPr>
        <w:t xml:space="preserve"> </w:t>
      </w:r>
      <w:r>
        <w:t xml:space="preserve">averaged over </w:t>
      </w:r>
      <w:r w:rsidR="008E47EF">
        <w:t>the</w:t>
      </w:r>
      <w:r>
        <w:t xml:space="preserve"> 17 </w:t>
      </w:r>
      <w:r w:rsidR="000836B9">
        <w:t xml:space="preserve">sea-surface </w:t>
      </w:r>
      <w:r w:rsidR="00421EEB">
        <w:t>trajectory</w:t>
      </w:r>
      <w:r>
        <w:t xml:space="preserve"> </w:t>
      </w:r>
      <w:r w:rsidR="008E47EF">
        <w:t xml:space="preserve">arrivals </w:t>
      </w:r>
      <w:r>
        <w:t>(section 4.2)</w:t>
      </w:r>
      <w:r w:rsidR="008E47EF">
        <w:t xml:space="preserve"> is</w:t>
      </w:r>
      <w:r>
        <w:t xml:space="preserve"> plotted against the </w:t>
      </w:r>
      <w:r w:rsidR="008E47EF">
        <w:t>sea-surface</w:t>
      </w:r>
      <w:r>
        <w:t xml:space="preserve"> wind speed</w:t>
      </w:r>
      <w:r w:rsidR="008E47EF">
        <w:t xml:space="preserve"> in Fig. 22</w:t>
      </w:r>
      <w:r>
        <w:t>.</w:t>
      </w:r>
      <w:r w:rsidR="00F13250">
        <w:t xml:space="preserve"> As in LS04, linear least-squares regression analysis with a model equation of form ln(N</w:t>
      </w:r>
      <w:r w:rsidR="00F13250">
        <w:rPr>
          <w:vertAlign w:val="subscript"/>
        </w:rPr>
        <w:t>D&gt;0.5</w:t>
      </w:r>
      <w:r w:rsidR="00F13250">
        <w:t xml:space="preserve">) = </w:t>
      </w:r>
      <w:proofErr w:type="spellStart"/>
      <w:r w:rsidR="00F13250">
        <w:t>a</w:t>
      </w:r>
      <w:r w:rsidR="00F13250" w:rsidRPr="00C5054D">
        <w:rPr>
          <w:vertAlign w:val="subscript"/>
        </w:rPr>
        <w:t>N</w:t>
      </w:r>
      <w:proofErr w:type="spellEnd"/>
      <w:r w:rsidR="00F13250">
        <w:sym w:font="Symbol" w:char="F0D7"/>
      </w:r>
      <w:r w:rsidR="00F13250">
        <w:t>U + ln(N</w:t>
      </w:r>
      <w:r w:rsidR="00F13250">
        <w:rPr>
          <w:vertAlign w:val="subscript"/>
        </w:rPr>
        <w:t>0</w:t>
      </w:r>
      <w:r w:rsidR="00F13250">
        <w:t>) was used to derive</w:t>
      </w:r>
      <w:r w:rsidR="00F13250" w:rsidRPr="002C6F48">
        <w:t xml:space="preserve"> </w:t>
      </w:r>
      <w:r w:rsidR="00F13250">
        <w:t xml:space="preserve">the coefficients </w:t>
      </w:r>
      <w:proofErr w:type="spellStart"/>
      <w:r w:rsidR="00F13250">
        <w:t>a</w:t>
      </w:r>
      <w:r w:rsidR="00F13250" w:rsidRPr="00687C86">
        <w:rPr>
          <w:vertAlign w:val="subscript"/>
        </w:rPr>
        <w:t>N</w:t>
      </w:r>
      <w:proofErr w:type="spellEnd"/>
      <w:r w:rsidR="00F13250">
        <w:t xml:space="preserve"> and N</w:t>
      </w:r>
      <w:r w:rsidR="00F13250">
        <w:rPr>
          <w:vertAlign w:val="subscript"/>
        </w:rPr>
        <w:t>0</w:t>
      </w:r>
      <w:r w:rsidR="007B3BF0">
        <w:t xml:space="preserve">. </w:t>
      </w:r>
      <w:r w:rsidR="00F13250">
        <w:t xml:space="preserve">The resultant values are </w:t>
      </w:r>
      <w:proofErr w:type="spellStart"/>
      <w:r w:rsidR="00F13250">
        <w:t>a</w:t>
      </w:r>
      <w:r w:rsidR="00F13250" w:rsidRPr="00687C86">
        <w:rPr>
          <w:vertAlign w:val="subscript"/>
        </w:rPr>
        <w:t>N</w:t>
      </w:r>
      <w:proofErr w:type="spellEnd"/>
      <w:r w:rsidR="00F13250">
        <w:t xml:space="preserve"> = 0.41 s m</w:t>
      </w:r>
      <w:r w:rsidR="00F13250">
        <w:rPr>
          <w:vertAlign w:val="superscript"/>
        </w:rPr>
        <w:t>-1</w:t>
      </w:r>
      <w:r w:rsidR="00F13250">
        <w:t>,</w:t>
      </w:r>
      <w:r w:rsidR="00F17734">
        <w:t xml:space="preserve"> N</w:t>
      </w:r>
      <w:r w:rsidR="00F17734">
        <w:rPr>
          <w:vertAlign w:val="subscript"/>
        </w:rPr>
        <w:t>0</w:t>
      </w:r>
      <w:r w:rsidR="00F13250">
        <w:t xml:space="preserve"> = 0.11 cm</w:t>
      </w:r>
      <w:r w:rsidR="00F13250">
        <w:rPr>
          <w:vertAlign w:val="superscript"/>
        </w:rPr>
        <w:t>-3</w:t>
      </w:r>
      <w:r w:rsidR="00F13250">
        <w:t xml:space="preserve">. </w:t>
      </w:r>
      <w:r w:rsidR="004B6CC3">
        <w:t>Here</w:t>
      </w:r>
      <w:r w:rsidR="005E138F">
        <w:t>,</w:t>
      </w:r>
      <w:r w:rsidR="004B6CC3">
        <w:t xml:space="preserve"> the correlation coefficient (r = 0.67) is significan</w:t>
      </w:r>
      <w:r w:rsidR="00440E8D">
        <w:t>t</w:t>
      </w:r>
      <w:r w:rsidR="004B6CC3">
        <w:t xml:space="preserve"> at p &lt; 0.01. V</w:t>
      </w:r>
      <w:r w:rsidR="008E47EF">
        <w:t xml:space="preserve">ariability </w:t>
      </w:r>
      <w:r w:rsidR="004B6CC3">
        <w:t xml:space="preserve">evident in these data is also seen </w:t>
      </w:r>
      <w:r>
        <w:t>in similar studies, such as those presented in LS04</w:t>
      </w:r>
      <w:r w:rsidR="005765CB">
        <w:t xml:space="preserve">. </w:t>
      </w:r>
      <w:r w:rsidR="00041F34">
        <w:t xml:space="preserve">One of the factors that can contribute to inter-dataset variability is the particle size interval </w:t>
      </w:r>
      <w:r w:rsidR="004F756D">
        <w:t>that was deemed to correspond to</w:t>
      </w:r>
      <w:r w:rsidR="00041F34">
        <w:t xml:space="preserve"> SSA particles</w:t>
      </w:r>
      <w:r w:rsidR="007B3BF0">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C31355" w:rsidP="00666E1B">
      <w:pPr>
        <w:pStyle w:val="jparaindent"/>
      </w:pPr>
      <w:r>
        <w:t>Large intra-dataset variability is also demonstrated in LS04 (their Fig. 18)</w:t>
      </w:r>
      <w:r w:rsidR="005E0B16">
        <w:t>; e.g., at U ~ 10 m s</w:t>
      </w:r>
      <w:r w:rsidR="005E0B16">
        <w:rPr>
          <w:vertAlign w:val="superscript"/>
        </w:rPr>
        <w:t>-1</w:t>
      </w:r>
      <w:r w:rsidR="005E0B16">
        <w:t xml:space="preserve"> the </w:t>
      </w:r>
      <w:proofErr w:type="spellStart"/>
      <w:r w:rsidR="005E0B16">
        <w:t>Parungo</w:t>
      </w:r>
      <w:proofErr w:type="spellEnd"/>
      <w:r w:rsidR="005E0B16">
        <w:t xml:space="preserve"> et al. values span a factor of three and are larger for measurements made south of 19 ºS. Comparable variability is seen in</w:t>
      </w:r>
      <w:r w:rsidR="00456DB3">
        <w:t xml:space="preserve"> my dataset (Fig. 22</w:t>
      </w:r>
      <w:r w:rsidR="005E0B16">
        <w:t>)</w:t>
      </w:r>
      <w:r w:rsidR="007B3BF0">
        <w:t xml:space="preserve">. </w:t>
      </w:r>
      <w:r w:rsidR="005E0B16">
        <w:t>There is considerable discussion of inter- and intra-dataset variability in LS04. Two dominant factors influencing variability are upwind sea-surface wind events, occurring up to several days prior to a measurement, and the removal of particles by precipitation. The latter process resets the SSA concentration to low values</w:t>
      </w:r>
      <w:r w:rsidR="007B3BF0">
        <w:t xml:space="preserve">. </w:t>
      </w:r>
      <w:r w:rsidR="005E0B16">
        <w:t xml:space="preserve">The net result is that wind speed is often poorly correlated with a collocated SSA </w:t>
      </w:r>
      <w:r w:rsidR="005E0B16">
        <w:lastRenderedPageBreak/>
        <w:t>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w:t>
      </w:r>
      <w:proofErr w:type="spellStart"/>
      <w:r w:rsidR="005E0B16">
        <w:t>Parungo</w:t>
      </w:r>
      <w:proofErr w:type="spellEnd"/>
      <w:r w:rsidR="005E0B16">
        <w:t xml:space="preserve"> et al. 1986; O’Dowd and Smith 1993)</w:t>
      </w:r>
      <w:r w:rsidR="005765CB">
        <w:t xml:space="preserve">. </w:t>
      </w:r>
      <w:r w:rsidR="00B279B7">
        <w:t>These</w:t>
      </w:r>
      <w:r w:rsidR="005E0B16">
        <w:t xml:space="preserve"> findings are demonstrated in Fig. 25.</w:t>
      </w:r>
    </w:p>
    <w:p w:rsidR="00CD4046" w:rsidRPr="00C70611" w:rsidRDefault="00CD4046" w:rsidP="001158C6"/>
    <w:sectPr w:rsidR="00CD4046" w:rsidRPr="00C70611" w:rsidSect="005E766F">
      <w:footerReference w:type="default" r:id="rId2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6C" w:rsidRDefault="007C776C" w:rsidP="006B3C5A">
      <w:pPr>
        <w:spacing w:after="0" w:line="240" w:lineRule="auto"/>
      </w:pPr>
      <w:r>
        <w:separator/>
      </w:r>
    </w:p>
  </w:endnote>
  <w:endnote w:type="continuationSeparator" w:id="0">
    <w:p w:rsidR="007C776C" w:rsidRDefault="007C776C"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7F542D">
          <w:rPr>
            <w:noProof/>
          </w:rPr>
          <w:t>7</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6C" w:rsidRDefault="007C776C" w:rsidP="006B3C5A">
      <w:pPr>
        <w:spacing w:after="0" w:line="240" w:lineRule="auto"/>
      </w:pPr>
      <w:r>
        <w:separator/>
      </w:r>
    </w:p>
  </w:footnote>
  <w:footnote w:type="continuationSeparator" w:id="0">
    <w:p w:rsidR="007C776C" w:rsidRDefault="007C776C"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Eqs. 1 – 3 is the decimal logarithm.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87B2F"/>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47A0"/>
    <w:rsid w:val="000F6453"/>
    <w:rsid w:val="001000AB"/>
    <w:rsid w:val="001047CD"/>
    <w:rsid w:val="00113C58"/>
    <w:rsid w:val="00114278"/>
    <w:rsid w:val="001158C6"/>
    <w:rsid w:val="00115B22"/>
    <w:rsid w:val="00121D08"/>
    <w:rsid w:val="00130A23"/>
    <w:rsid w:val="00132DB7"/>
    <w:rsid w:val="00132FF0"/>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858"/>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2F54ED"/>
    <w:rsid w:val="002F785C"/>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C64"/>
    <w:rsid w:val="003A2201"/>
    <w:rsid w:val="003A26A3"/>
    <w:rsid w:val="003A436B"/>
    <w:rsid w:val="003A7CA1"/>
    <w:rsid w:val="003B568A"/>
    <w:rsid w:val="003B781F"/>
    <w:rsid w:val="003C0064"/>
    <w:rsid w:val="003C49E2"/>
    <w:rsid w:val="003C4E7F"/>
    <w:rsid w:val="003C4F9E"/>
    <w:rsid w:val="003D6A43"/>
    <w:rsid w:val="003D72CE"/>
    <w:rsid w:val="003E2C51"/>
    <w:rsid w:val="003E36AE"/>
    <w:rsid w:val="003E6D2A"/>
    <w:rsid w:val="003E6DD1"/>
    <w:rsid w:val="003E7C7F"/>
    <w:rsid w:val="003F0F65"/>
    <w:rsid w:val="003F3298"/>
    <w:rsid w:val="003F5714"/>
    <w:rsid w:val="003F7A1D"/>
    <w:rsid w:val="004010E0"/>
    <w:rsid w:val="004015C6"/>
    <w:rsid w:val="0040428C"/>
    <w:rsid w:val="00410819"/>
    <w:rsid w:val="004116AE"/>
    <w:rsid w:val="00411ED7"/>
    <w:rsid w:val="004131FE"/>
    <w:rsid w:val="00413DBA"/>
    <w:rsid w:val="004147B7"/>
    <w:rsid w:val="00414CFC"/>
    <w:rsid w:val="00421EEB"/>
    <w:rsid w:val="00422D9F"/>
    <w:rsid w:val="004269BD"/>
    <w:rsid w:val="00426CDA"/>
    <w:rsid w:val="004329B7"/>
    <w:rsid w:val="00435DD1"/>
    <w:rsid w:val="00436ABA"/>
    <w:rsid w:val="00436D7C"/>
    <w:rsid w:val="00440E8D"/>
    <w:rsid w:val="004479C3"/>
    <w:rsid w:val="00453DAA"/>
    <w:rsid w:val="00456159"/>
    <w:rsid w:val="00456DB3"/>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4B6B"/>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1DB"/>
    <w:rsid w:val="00522BA4"/>
    <w:rsid w:val="00526018"/>
    <w:rsid w:val="005260F6"/>
    <w:rsid w:val="0052743C"/>
    <w:rsid w:val="0053173D"/>
    <w:rsid w:val="00532577"/>
    <w:rsid w:val="00533337"/>
    <w:rsid w:val="0053777F"/>
    <w:rsid w:val="005408ED"/>
    <w:rsid w:val="00542F16"/>
    <w:rsid w:val="00544666"/>
    <w:rsid w:val="00546F03"/>
    <w:rsid w:val="00550A0F"/>
    <w:rsid w:val="00556AC3"/>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A6505"/>
    <w:rsid w:val="005B0AC8"/>
    <w:rsid w:val="005B2741"/>
    <w:rsid w:val="005C16C2"/>
    <w:rsid w:val="005C3697"/>
    <w:rsid w:val="005C53FB"/>
    <w:rsid w:val="005E0B16"/>
    <w:rsid w:val="005E0B8B"/>
    <w:rsid w:val="005E0BA9"/>
    <w:rsid w:val="005E138F"/>
    <w:rsid w:val="005E1C85"/>
    <w:rsid w:val="005E64DE"/>
    <w:rsid w:val="005E766F"/>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66E1B"/>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431"/>
    <w:rsid w:val="007009D4"/>
    <w:rsid w:val="00700C06"/>
    <w:rsid w:val="0070240B"/>
    <w:rsid w:val="00716F01"/>
    <w:rsid w:val="00721B00"/>
    <w:rsid w:val="0072523D"/>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C776C"/>
    <w:rsid w:val="007D2668"/>
    <w:rsid w:val="007D4422"/>
    <w:rsid w:val="007D63DA"/>
    <w:rsid w:val="007E33F4"/>
    <w:rsid w:val="007F1D4C"/>
    <w:rsid w:val="007F359D"/>
    <w:rsid w:val="007F542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913"/>
    <w:rsid w:val="00A92C28"/>
    <w:rsid w:val="00A943A9"/>
    <w:rsid w:val="00A97A2F"/>
    <w:rsid w:val="00AA17C7"/>
    <w:rsid w:val="00AA2BFC"/>
    <w:rsid w:val="00AB46F0"/>
    <w:rsid w:val="00AB4EF5"/>
    <w:rsid w:val="00AB6746"/>
    <w:rsid w:val="00AC0290"/>
    <w:rsid w:val="00AC283B"/>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364D"/>
    <w:rsid w:val="00B746F9"/>
    <w:rsid w:val="00B812BC"/>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1355"/>
    <w:rsid w:val="00C34A61"/>
    <w:rsid w:val="00C45354"/>
    <w:rsid w:val="00C45588"/>
    <w:rsid w:val="00C60600"/>
    <w:rsid w:val="00C66EDE"/>
    <w:rsid w:val="00C66F34"/>
    <w:rsid w:val="00C70611"/>
    <w:rsid w:val="00C7253E"/>
    <w:rsid w:val="00C76D73"/>
    <w:rsid w:val="00C80774"/>
    <w:rsid w:val="00C81DDB"/>
    <w:rsid w:val="00C90101"/>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206"/>
    <w:rsid w:val="00D11435"/>
    <w:rsid w:val="00D12D46"/>
    <w:rsid w:val="00D172ED"/>
    <w:rsid w:val="00D20992"/>
    <w:rsid w:val="00D238FF"/>
    <w:rsid w:val="00D23D3A"/>
    <w:rsid w:val="00D26C8A"/>
    <w:rsid w:val="00D27FC4"/>
    <w:rsid w:val="00D303CA"/>
    <w:rsid w:val="00D31025"/>
    <w:rsid w:val="00D326C8"/>
    <w:rsid w:val="00D34C21"/>
    <w:rsid w:val="00D34E10"/>
    <w:rsid w:val="00D36B4B"/>
    <w:rsid w:val="00D4336F"/>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432C"/>
    <w:rsid w:val="00D874DA"/>
    <w:rsid w:val="00D8786C"/>
    <w:rsid w:val="00D905B4"/>
    <w:rsid w:val="00D91639"/>
    <w:rsid w:val="00D92E4F"/>
    <w:rsid w:val="00D95D89"/>
    <w:rsid w:val="00D95E51"/>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20A1"/>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3031"/>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717FAF"/>
  <w15:docId w15:val="{28456A48-80DA-4374-8CE5-3B0D3E92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F67B25-D9E5-4395-80A4-08B38887C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 Fults</dc:creator>
  <cp:lastModifiedBy>Sara Fults</cp:lastModifiedBy>
  <cp:revision>4</cp:revision>
  <cp:lastPrinted>2016-10-18T15:27:00Z</cp:lastPrinted>
  <dcterms:created xsi:type="dcterms:W3CDTF">2017-04-05T20:38:00Z</dcterms:created>
  <dcterms:modified xsi:type="dcterms:W3CDTF">2017-04-05T20:56:00Z</dcterms:modified>
</cp:coreProperties>
</file>